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75" w:beforeAutospacing="0" w:after="120" w:afterAutospacing="0"/>
        <w:ind w:left="0" w:firstLine="0"/>
        <w:jc w:val="left"/>
        <w:rPr>
          <w:rFonts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shd w:val="clear" w:fill="FFFFFF"/>
          <w:lang w:val="en-US" w:eastAsia="zh-CN" w:bidi="ar"/>
        </w:rPr>
        <w:drawing>
          <wp:inline distT="0" distB="0" distL="114300" distR="114300">
            <wp:extent cx="13335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33350" cy="142875"/>
                    </a:xfrm>
                    <a:prstGeom prst="rect">
                      <a:avLst/>
                    </a:prstGeom>
                    <a:noFill/>
                    <a:ln w="9525">
                      <a:noFill/>
                    </a:ln>
                  </pic:spPr>
                </pic:pic>
              </a:graphicData>
            </a:graphic>
          </wp:inline>
        </w:drawing>
      </w:r>
      <w:r>
        <w:rPr>
          <w:rFonts w:hint="eastAsia" w:ascii="微软雅黑" w:hAnsi="微软雅黑" w:eastAsia="微软雅黑" w:cs="微软雅黑"/>
          <w:i w:val="0"/>
          <w:caps w:val="0"/>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spacing w:val="0"/>
          <w:kern w:val="0"/>
          <w:sz w:val="21"/>
          <w:szCs w:val="21"/>
          <w:u w:val="none"/>
          <w:shd w:val="clear" w:fill="FFFFFF"/>
          <w:lang w:val="en-US" w:eastAsia="zh-CN" w:bidi="ar"/>
        </w:rPr>
        <w:instrText xml:space="preserve"> HYPERLINK "http://www.jiathis.com/share" \t "http://www.yuanjiang.gov.cn/20395/_blank" </w:instrText>
      </w:r>
      <w:r>
        <w:rPr>
          <w:rFonts w:hint="eastAsia" w:ascii="微软雅黑" w:hAnsi="微软雅黑" w:eastAsia="微软雅黑" w:cs="微软雅黑"/>
          <w:i w:val="0"/>
          <w:caps w:val="0"/>
          <w:spacing w:val="0"/>
          <w:kern w:val="0"/>
          <w:sz w:val="21"/>
          <w:szCs w:val="21"/>
          <w:u w:val="none"/>
          <w:shd w:val="clear" w:fill="FFFFFF"/>
          <w:lang w:val="en-US" w:eastAsia="zh-CN" w:bidi="ar"/>
        </w:rPr>
        <w:fldChar w:fldCharType="separate"/>
      </w:r>
      <w:r>
        <w:rPr>
          <w:rFonts w:hint="eastAsia" w:ascii="微软雅黑" w:hAnsi="微软雅黑" w:eastAsia="微软雅黑" w:cs="微软雅黑"/>
          <w:i w:val="0"/>
          <w:caps w:val="0"/>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before="75" w:beforeAutospacing="0" w:after="120" w:afterAutospacing="0" w:line="285" w:lineRule="atLeast"/>
        <w:ind w:left="0" w:right="270" w:firstLine="0"/>
        <w:jc w:val="righ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shd w:val="clear" w:fill="FFFFFF"/>
          <w:lang w:val="en-US" w:eastAsia="zh-CN" w:bidi="ar"/>
        </w:rPr>
        <w:t>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目</w:t>
      </w:r>
      <w:r>
        <w:rPr>
          <w:rFonts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0"/>
        <w:jc w:val="left"/>
      </w:pPr>
      <w:r>
        <w:rPr>
          <w:rFonts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ascii="黑体" w:hAnsi="宋体" w:eastAsia="黑体" w:cs="黑体"/>
          <w:i w:val="0"/>
          <w:caps w:val="0"/>
          <w:color w:val="000000"/>
          <w:spacing w:val="0"/>
          <w:kern w:val="0"/>
          <w:sz w:val="32"/>
          <w:szCs w:val="32"/>
          <w:bdr w:val="none" w:color="auto" w:sz="0" w:space="0"/>
          <w:shd w:val="clear" w:fill="FFFFFF"/>
          <w:lang w:val="en-US" w:eastAsia="zh-CN" w:bidi="ar"/>
        </w:rPr>
        <w:t>第一部分</w:t>
      </w: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沅江市发展和改革局概况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ascii="楷体" w:hAnsi="楷体" w:eastAsia="楷体" w:cs="楷体"/>
          <w:i w:val="0"/>
          <w:caps w:val="0"/>
          <w:color w:val="000000"/>
          <w:spacing w:val="0"/>
          <w:kern w:val="0"/>
          <w:sz w:val="32"/>
          <w:szCs w:val="32"/>
          <w:bdr w:val="none" w:color="auto" w:sz="0" w:space="0"/>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第二部分 沅江市发展和改革局2019 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七、一般公共预算财政拨款“三公”经费支出决算表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第三部分 沅江市发展和改革局2019年度部门决算情况说明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七、政府性基金预算财政拨款支出决算情况说明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八、一般公共预算财政拨款“三公”经费支出决算情况说明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九、预算绩效情况说明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十、其他重要事项情况说明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第一部分</w:t>
      </w: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沅江市发展和改革局概况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拟订经济社会发展战略。拟订并组织实施全市国民经济和社会发展战略、中长期规划和年度计划；统筹协调经济社会发展，提出全市国民经济发展和优化重大经济结构的目标和政策的建议，提出综合运用各种经济手段和政策的建议；受市人民政府委托向市人大提交国民经济和社会发展计划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（二）研究全市宏观经济运行、总量平衡、经济安全和总体产业安全等重要问题并提出落实宏观调控政策的建议，协调解决经济运行中的重大问题，调节国民经济运行。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汇总全市社会资金总体运行情况，参与贯彻落实财政、金融、土地政策并综合分析政策执行效果。组织实施产业政策，监督检查产业政策的执行；会同有关部门完善宏观调控协调机制，统筹推进产业、创业等投资基金的发展和协助完善相关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四）指导推进和综合协调全市经济体制改革，研究全市经济体制改革和对外开放的重大问题；组织拟订综合性经济体制改革方案，协调有关专项经济体制改革方案实施，会同有关部门搞好专项改革之间的衔接；指导经济体制改革试点和改革试验区工作，协调推进“两型”社会建设综合配套改革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五）拟订全市社会固定资产投资总规模和投资结构的调控目标、执行政策的措施。规划全市重大建设项目和生产力布局，按规定权限审批、核准、审核、备案、协助申报重大建设项目、外资项目、境外投资项目。研究提出全市利用外资和境外投资的战略、规划、总量平衡和结构优化的目标执行政策的措施；指导和监督国外贷款建设资金的使用，引导民间投资方向；牵头组织编制特重大自然灾害的灾后恢复重建规划，协调有关重大问题；研究提出市重点建设项目计划；负责政府投资项目代建制实施的指导、协调和监督管理。指导工程咨询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六）组织执行综合性产业政策，负责协调第一、二、三产业发展的重大问题并衔接平衡相关发展规划和重大政策，负责综合交通运输体系规划与经济和社会发展规划的衔接平衡；协调农业和农村经济社会发展的重大问题，统筹推进现代农业改革；负责制定发展战略性新兴产业规划，研究执行新型工业化和产业集群发展的政策措施；会同有关部门研究执行高新技术产业、服务业发展规划和重大政策，实施高新技术产业发展的宏观指导，协调解决重大技术装备推广应用等方面的重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七）贯彻落实国家中部崛起、长江经济带开发建设的政策措施，研究分析区域经济发展情况，组织编制区域规划；负责统筹促进洞庭湖区生态经济区加快发展的战略、规划和重大政策落实，承担市洞庭湖生态经济区建设领导小组有关具体工作；拟订并组织实施全市以工代赈规划和计划；参与研究拟订全市城镇化发展战略和执行重大政策的措施。参与制定开发园区发展规划和落实相关政策的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八）承担重要商品总量平衡和宏观调控，编制重要农产品、工业品和原材料进出口总量平衡计划并监督执行，根据经济运行情况对计划进行调整；拟订重要战略物资储备规划，负责组织收储、动用、轮换和管理，会同有关部门管理粮食、棉花和食糖等储备。牵头负责全市物流发展工作，拟订现代物流业发展战略、规划，协调物流业发展重大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九）贯彻执行国家、省粮食流通和物资储备管理的政策法规；制定并组织实施全市粮食流通发展规划，组织指导粮食市场体系和质量监测体系建设；承担全市粮食流通宏观调控的具体工作，负责粮食流通行政管理，指导协调政策性粮食购销和粮食产销合作；研究提出全市粮食和物资储备规划、储备品种目录建议，管理全市粮食、棉花、食糖等战略物资和救灾物资储备；贯彻落实国家粮食和物资储备仓储管理有关技术标准和规范，指导科技进步、技术改造；组织指导粮食流通、加工行业安全生产，承担所属物资承储单位安全生产的监管责任；拟订并组织实施全市储备基础和粮食流通设施建设规划；保障军队粮食供应；负责粮食流通和物资储备监督检查，负责粮食行政执法工作，组织实施粮食库存检查工作；承担粮食安全责任制考核日常工作；负责全市社会粮食流通和储备物资的统计工作；监管所属单位的国有资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负责国民经济和社会发展的政策衔接。组织拟订社会发展战略、总体规划和年度计划。拟订人口发展战略、规划及执行人口政策。参与执行科学技术、教育、文化、卫生、民政等发展政策。统筹推进基本公共服务体系建设和收入分配制度改革。研究提出落实促进就业、完善社会保障与经济协调发展的政策建议。协调社会事业发展和改革中的重大问题及政策的执行。参与推进深化医药卫生体制改革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一）研究分析经济社会与资源、环境协调发展的重大问题，研究提出能源消费总量控制目标的建议，牵头拟订能源消费总量控制工作方案并组织实施；组织拟订发展循环经济、能源资源节约和综合利用规划、落实政策的措施并协调实施。参与编制生态环境保护规划，协调生态建设、能源资源节约和综合利用的重大问题，会同有关部门提出建立健全生态补偿机制政策的建议。综合协调节能环保产业和清洁生产促进有关工作。完善固定资产投资项目节能评估和审查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二）编制和执行全市价格改革规划，组织实施价格政策。监测、分析市场价格形势，组织实施价格总水平调控。管理国家、省列名管理的商品和服务价格（药品和医疗价格除外），监管实行市场调节价的商品和服务价格，承担行政事业性收费管理、价格监测和法定物品及服务的价格认定工作；依法对重大自然灾害和特殊时期实施临时价格干预措施，负责价格公共服务工作；负责规定权限内的价格、收费及政府购买服务的成本调查和监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三）协调推进经济发展环境的优化，牵头落实有关鼓励市场主体投资，保护投资者权益，促进市场公平竞争、维护市场正常秩序的政务、法制、商务、信用等环境，优化重点项目建设环境；指导全市优化经济发展环境的相关工作，承担治理工程建设领域突出问题有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四）研究提出全市能源发展战略和改革建议。拟订能源发展规划、执行产业政策的措施并组织实施；监测能源发展情况，衔接能源生产建设和供需平衡；负责能源预测预警，发布能源信息，参与能源重大建设项目规划布局，参与能源运行调节和应急保障；组织协调新能源开发利用的前期工作。统筹协调农村能源发展政策与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（十五）制定推进社会信用体系建设的规划、执行政策的措施，统筹推进统一的信用信息平台建设，促进信用信息资源的整合与运用，协调社会信用体系建设的重大问题。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（十六）拟订推进经济建设与国防建设协调发展的战略和规划，协调有关重大问题；组织编制全市国民经济动员和装备动员规划、计划，并组织实施有关工作。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七）依法负责公共资源交易综合监督管理，指导、协调、监督各法定监管机关依法履行公共资源交易监管执法职责。指导协调全市招投标工作；审批、核准招标项目的招标范围、招标方式、招标组织形式，依法查处招标投标活动中的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（十八）负责全市重点建设项目管理工作。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（十九）完成市委和市人民政府交办的其他任务。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795" w:right="0" w:hanging="795"/>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沅江市发展和改革局为市人民政府工作部门，为正科级，加挂沅江市粮食和物资储备局牌子。根据职责职能，共设19个内设股室,分别为：办公室（法制股）、财务股、政工人事股、综合规划股（经济体制改革股）、工交投资股（市重点项目建设办公室）、长江经济带和洞庭湖发展股、农业农村经济股、服务业和经济贸易股（高新技术产业股）、社会发展股（就业收入分配和消费股）、资源节约和环境保护股（能源管理办公室）、市两型社会建设办公室、公共资源交易管理股、财政金融和信用建设股（利用外资股）、价格收费管理股（市价格监测调控股）、优化经济发展环境股（评估督导股）、粮食产业发展和调控股（国民经济与装备动员办公室）、粮食与物资储备股（军粮应急管理股）、粮食和物资监督检查股、行政审批改革股；另设4个二级机构，分别为：市项目前期服务中心、市价格认证中心（市价格成本调查队）、市粮油检验站、市粮食与物资储备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795" w:right="0" w:hanging="795"/>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从决算单位构成看，沅江市发展和改革局部门决算只包括局本级决算，所属二级机构没有独立核算，因此没有二级机构决算。</w:t>
      </w:r>
    </w:p>
    <w:p>
      <w:pPr>
        <w:rPr>
          <w:rFonts w:hint="eastAsia" w:ascii="宋体" w:hAnsi="宋体" w:eastAsia="宋体" w:cs="宋体"/>
          <w:i w:val="0"/>
          <w:caps w:val="0"/>
          <w:color w:val="000000"/>
          <w:spacing w:val="0"/>
          <w:sz w:val="44"/>
          <w:szCs w:val="44"/>
          <w:shd w:val="clear" w:fill="FFFFFF"/>
        </w:rPr>
      </w:pPr>
      <w:r>
        <w:rPr>
          <w:rFonts w:hint="eastAsia" w:ascii="宋体" w:hAnsi="宋体" w:eastAsia="宋体" w:cs="宋体"/>
          <w:i w:val="0"/>
          <w:caps w:val="0"/>
          <w:color w:val="000000"/>
          <w:spacing w:val="0"/>
          <w:sz w:val="44"/>
          <w:szCs w:val="44"/>
          <w:shd w:val="clear" w:fill="FFFFFF"/>
        </w:rPr>
        <w:t>第二部分</w:t>
      </w:r>
      <w:r>
        <w:rPr>
          <w:rFonts w:ascii="方正小标宋_GBK" w:hAnsi="方正小标宋_GBK" w:eastAsia="方正小标宋_GBK" w:cs="方正小标宋_GBK"/>
          <w:i w:val="0"/>
          <w:caps w:val="0"/>
          <w:color w:val="000000"/>
          <w:spacing w:val="0"/>
          <w:sz w:val="44"/>
          <w:szCs w:val="44"/>
          <w:shd w:val="clear" w:fill="FFFFFF"/>
        </w:rPr>
        <w:t> </w:t>
      </w:r>
      <w:r>
        <w:rPr>
          <w:rFonts w:hint="eastAsia" w:ascii="宋体" w:hAnsi="宋体" w:eastAsia="宋体" w:cs="宋体"/>
          <w:i w:val="0"/>
          <w:caps w:val="0"/>
          <w:color w:val="000000"/>
          <w:spacing w:val="0"/>
          <w:sz w:val="44"/>
          <w:szCs w:val="44"/>
          <w:shd w:val="clear" w:fill="FFFFFF"/>
        </w:rPr>
        <w:t>沅江市发展和改革局</w:t>
      </w:r>
      <w:r>
        <w:rPr>
          <w:rFonts w:hint="default" w:ascii="方正小标宋_GBK" w:hAnsi="方正小标宋_GBK" w:eastAsia="方正小标宋_GBK" w:cs="方正小标宋_GBK"/>
          <w:i w:val="0"/>
          <w:caps w:val="0"/>
          <w:color w:val="000000"/>
          <w:spacing w:val="0"/>
          <w:sz w:val="44"/>
          <w:szCs w:val="44"/>
          <w:shd w:val="clear" w:fill="FFFFFF"/>
        </w:rPr>
        <w:t>2019</w:t>
      </w:r>
      <w:r>
        <w:rPr>
          <w:rFonts w:hint="eastAsia" w:ascii="宋体" w:hAnsi="宋体" w:eastAsia="宋体" w:cs="宋体"/>
          <w:i w:val="0"/>
          <w:caps w:val="0"/>
          <w:color w:val="000000"/>
          <w:spacing w:val="0"/>
          <w:sz w:val="44"/>
          <w:szCs w:val="44"/>
          <w:shd w:val="clear" w:fill="FFFFFF"/>
        </w:rPr>
        <w:t>年度部门决算表（详表见附件）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ascii="微软雅黑" w:hAnsi="微软雅黑" w:eastAsia="微软雅黑" w:cs="微软雅黑"/>
          <w:i w:val="0"/>
          <w:caps w:val="0"/>
          <w:color w:val="000000"/>
          <w:spacing w:val="0"/>
          <w:sz w:val="24"/>
          <w:szCs w:val="24"/>
        </w:rPr>
      </w:pPr>
      <w:r>
        <w:rPr>
          <w:rFonts w:ascii="仿宋" w:hAnsi="仿宋" w:eastAsia="仿宋" w:cs="仿宋"/>
          <w:i w:val="0"/>
          <w:caps w:val="0"/>
          <w:spacing w:val="0"/>
          <w:kern w:val="0"/>
          <w:sz w:val="32"/>
          <w:szCs w:val="32"/>
          <w:u w:val="none"/>
          <w:bdr w:val="none" w:color="auto" w:sz="0" w:space="0"/>
          <w:shd w:val="clear" w:fill="FFFFFF"/>
          <w:lang w:val="en-US" w:eastAsia="zh-CN" w:bidi="ar"/>
        </w:rPr>
        <w:fldChar w:fldCharType="begin"/>
      </w:r>
      <w:r>
        <w:rPr>
          <w:rFonts w:ascii="仿宋" w:hAnsi="仿宋" w:eastAsia="仿宋" w:cs="仿宋"/>
          <w:i w:val="0"/>
          <w:caps w:val="0"/>
          <w:spacing w:val="0"/>
          <w:kern w:val="0"/>
          <w:sz w:val="32"/>
          <w:szCs w:val="32"/>
          <w:u w:val="none"/>
          <w:bdr w:val="none" w:color="auto" w:sz="0" w:space="0"/>
          <w:shd w:val="clear" w:fill="FFFFFF"/>
          <w:lang w:val="en-US" w:eastAsia="zh-CN" w:bidi="ar"/>
        </w:rPr>
        <w:instrText xml:space="preserve"> HYPERLINK "http://www.yuanjiang.gov.cn/uploadfiles/202008/20200827090050426.xls" \t "http://www.yuanjiang.gov.cn/20395/_blank" </w:instrText>
      </w:r>
      <w:r>
        <w:rPr>
          <w:rFonts w:ascii="仿宋" w:hAnsi="仿宋" w:eastAsia="仿宋" w:cs="仿宋"/>
          <w:i w:val="0"/>
          <w:caps w:val="0"/>
          <w:spacing w:val="0"/>
          <w:kern w:val="0"/>
          <w:sz w:val="32"/>
          <w:szCs w:val="32"/>
          <w:u w:val="none"/>
          <w:bdr w:val="none" w:color="auto" w:sz="0" w:space="0"/>
          <w:shd w:val="clear" w:fill="FFFFFF"/>
          <w:lang w:val="en-US" w:eastAsia="zh-CN" w:bidi="ar"/>
        </w:rPr>
        <w:fldChar w:fldCharType="separate"/>
      </w:r>
      <w:r>
        <w:rPr>
          <w:rStyle w:val="4"/>
          <w:rFonts w:hint="eastAsia" w:ascii="仿宋" w:hAnsi="仿宋" w:eastAsia="仿宋" w:cs="仿宋"/>
          <w:i w:val="0"/>
          <w:caps w:val="0"/>
          <w:spacing w:val="0"/>
          <w:sz w:val="32"/>
          <w:szCs w:val="32"/>
          <w:u w:val="none"/>
          <w:bdr w:val="none" w:color="auto" w:sz="0" w:space="0"/>
          <w:shd w:val="clear" w:fill="FFFFFF"/>
        </w:rPr>
        <w:t>沅江市发展和改革局2019年度部门决算公开表.xls</w: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表1：收入支出决算总表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表2：收入决算表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表3：支出决算表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表4：财政拨款收入支出决算总表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表5：一般公共预算财政拨款支出决算表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表6：一般公共预算财政拨款基本支出决算表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表7：一般公共预算财政拨款“三公”经费支出决算表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表8：政府性基金预算财政拨款收入支出决算表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第三部分</w:t>
      </w:r>
      <w:r>
        <w:rPr>
          <w:rFonts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沅江市发展和改革局</w:t>
      </w: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2019 </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一、关于沅江市发展和改革局 2019年度收入支出决算总体情况说明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沅江市发展和改革局2019年度收入总计1600.41万元，比上年同期增加371.71万元，增长30.25%；支出总计1298.23万元，比上年同期减少41.91万元，下降3.13%；。主要原因：项目前期专项经费支出的减少。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2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二、关于沅江市发展和改革局 2019年度收入决算情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2019年度收入合计1600.41 万元，其中：财政拨款收入1084.09万元，占67.74%；其他收入516.32 万元，占32.26%。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2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三、关于沅江市发展和改革局 2019年度支出决算情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2019年度支出合计1298.23万元，其中：基本支出802.96万元，占 61.85%；项目支出495.27 万元，占38.15%。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四、关于沅江市发展和改革局2019年度财政拨款收入支出决算总体情况说明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2019年度财政拨款收入总计1084.09万元，比上年同期减少144.61万元，下降11.77%；财政拨款支出总计1132.41万元，比上年同期减少207.73万元，下降15.50%。主要原因：项目经费的核减，项目经费支出减少。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五、关于沅江市发展和改革局2019年度一般公共预算财政拨款收入支出决算情况说明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eastAsia" w:ascii="微软雅黑" w:hAnsi="微软雅黑" w:eastAsia="微软雅黑" w:cs="微软雅黑"/>
          <w:i w:val="0"/>
          <w:caps w:val="0"/>
          <w:color w:val="000000"/>
          <w:spacing w:val="0"/>
          <w:sz w:val="24"/>
          <w:szCs w:val="24"/>
        </w:rPr>
      </w:pPr>
      <w:r>
        <w:rPr>
          <w:rFonts w:ascii="楷体" w:hAnsi="楷体" w:eastAsia="楷体" w:cs="楷体"/>
          <w:i w:val="0"/>
          <w:caps w:val="0"/>
          <w:color w:val="000000"/>
          <w:spacing w:val="0"/>
          <w:kern w:val="0"/>
          <w:sz w:val="32"/>
          <w:szCs w:val="32"/>
          <w:bdr w:val="none" w:color="auto" w:sz="0" w:space="0"/>
          <w:shd w:val="clear" w:fill="FFFFFF"/>
          <w:lang w:val="en-US" w:eastAsia="zh-CN" w:bidi="ar"/>
        </w:rPr>
        <w:t>（一）一般公共预算财政拨款收入支出决算总体情况。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一般公共预算财政拨款收入总计1064.09万元，比上年同期减少164.61万元，下降13.40%；一般公共预算财政拨款支出总计1112.41万元，比上年同期减少227.73万元，下降16.99%。主要原因：项目经费的核减，项目经费支出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（二）一般公共预算财政拨款支出决算构成情况。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一般公共服务支出 1064.59万元，占 95.70%；社会保障和就业支出、节能环保支出1.6万元，占0.14%；住房保障支出46.22万元，占4.16%。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（三）一般公共预算财政拨款支出决算具体情况。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一般公共服务支出：行政运行财政拨款支出708.15万元，事业运行财政拨款支出40.00万元，主要用于人员经费及日常公用经费开支；一般行政管理事务财政拨款支出138.00万元，战略规划与实施财政拨款支出114.44万元，其他发展与改革事务支出64.00万元，主要用于项目经费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2.社会保障和就业支出1.50万元，为抚恤支出。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3.环境保护管理事务0.10万元，为相关环境保护工作先进个人奖金。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4.住房保障支出46.22万元，为住房公积金支出。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六、关于沅江市发展和改革局2019年度一般公共预算财政拨款基本支出决算情况说明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2019年度一般公共预算财政拨款基本支出802.96万元，其中人员经费支出 735.03万元，主要包括：基本工资、津贴补贴、奖金、社会保障缴费等；公用经费支出 67.93万元。主要包括：办公费、印刷费、水电费等。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七、关于沅江市发展和改革局2019年度政府性基金预算财政拨款支出决算情况说明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（一）政府性基金预算财政拨款收入支出决算总体情况。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政府性基金预算财政拨款收入总计20.00万元，比上年同期增加20.00万元，增长100.00%；政府性基金预算财政拨款支出总计20.00万元，比上年同期增加20.00万元，增长100.00%。主要原因：本年新增高标准农田建设项目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（二）政府性基金预算财政拨款支出决算构成情况。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城乡社区支出 20.00万元，占 100.00%。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（三）政府性基金预算财政拨款支出决算具体情况。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城乡社区支出国有土地使用权出让收入及对应专项债务收入安排的收入财政拨款支出 20.00万元，主要用于高标准农田建设工作经费支出。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八、关于沅江市发展和改革局2019年度一般公共预算财政拨款“三公”经费支出决算情况说明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2019年度“三公”经费财政拨款支出预算为17.00万元，支出决算为16.65万元，完成预算的97.94%，其中：公务接待费支出决算为 16.65万元，完成预算的97.94%。2019年度“三公”经费支出决算数与预算数基本持平。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2019年度“三公”经费财政拨款支出决算为16.65万元，其中：公务接待费支出决算为 16.65万元，占100%。2019年度“三公”经费支出决算数大于上年决算数的主要原因：机构改革后项目业务增加导致公务接待增加。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九、关于 2019年度预算绩效情况说明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（一）绩效管理工作开展情况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2019年部门支出主要是为了满足扎实高效地组织开展各项工作，促进全市社会经济又好又快发展，确保单位各项工作正常开展。主要支出是如下工作方面：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(一)学习贯彻习近平新时代中国特色社会主义思想和党的十九大精神。</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我局党组坚持把学习贯彻习近平新时代中国特色社会主义思想和党的十九大精神作为首要的政治任务和贯穿发展改革工作的主线。2019年贯彻落实十九大精神专题学习会议15余次；我局党组带领全体干职工在“红星云”上学报告，学党章，积极答题，统一考试；以“听我讲课”为载体，平均每周1次由党组成员带头学习习近平新时代中国特色社会主义思想和党的十九大精神、法律法规、专业知识。党组中心组集中学习16次，每次学习都组织了讨论；以主题党日为主要载体，每月固定1天开展党的组织生活；研究局重大事项，坚持每周党性教育，1月1次党组会；通过以上学习活动营造了良好的机关学习氛围，武装了每个干部职工的理论基础，党员干部政治意识、大局意识、核心意识、看齐意识更加坚定，政治素养进一步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（二）扎实开展“不忘初心、牢记使命”主题教育。</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主题教育开展以来我局组织了3天的读书班集中学习、3次跟进学习、3次学习研讨，12堂党课，认真学习了党章、党规，习近平总书记系列重要讲话等，党“四个意识”进一步增强，“四个自信”进一步坚定，政治素养进一步提升。并在12月份召开了主题教育专题民主生活会，对照“两目标要求，通过多轮自我剖析、发放征求意见函、走访调研、谈心谈话等多种途径检视到的问题，进行深刻反思教训、深入研究探讨，进一步明确了努力方向和整改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（三）编制“十四五”规划，引导全市经济和社会全面、协调、持续发展。</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我局作为我市的“十四五”起草工作的牵头单位，从去年开始，根据省、市“十四五”规划编制工作的总体部署，着手开展“十四五”规划的前期工作，局班子多次带队深入各街道、镇开展调查研究，组织市直有关部门召开专题会议，分析我区“十三五”计划执行情况、存在问题以及“十四五”的发展环境，共同探讨各行业“十四五”期间的发展重点及相应目标。同时，认真学习、吸收上级部门及兄弟县、区编制规划的经验，初步形成了《沅江市经济和社会发展第十四个五年规划基本思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1"/>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（四）有效推进立项争资和项目建设工作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60" w:right="0" w:firstLine="48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今年来，我市制定了招商引资、立项争资、重点项目建设工作考核方案，严格落实“一个项目、一名市级领导、一套班子”制度，夯实责任。进一步优化项目建设环境，继续深化“产业项目建设年”活动，做好保姆式跟踪服务，全面提升合同履约率、项目开工率、资金到位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7"/>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全市累计向上争资52.74亿元，占总任务的96.78%。其中项目类资金22.8亿元，占项目类任务的152%；非项目类资金29.94亿元，占非项目类任务的75.8%。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7"/>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全市86个项目完成投资53.10亿元，占年度任务的79.66%。其中，产业项目完成投资27.31亿元，为年度计划投资的76.78%；基础设施建设项目完成投资21.36亿元，为年度计划投资的70.24%；社会民生项目完成投资0.68亿元，为年度计划投资0.68亿元的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7"/>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纳入益阳市级18个重点项目年度计划投资31.98亿元，全年完成投资41.19亿元，占年度任务的128.8%。纳入益阳“六个10工程”重点项目中的4个项目，年度计划投资12.87亿元，完成投资10.92亿元，占年度任务的135.19%。纳入省“5个100工程”的两个项目总投资4.19亿元，年度计划投资1.72亿元，完成投资2.27亿元，占年计划的132%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（五）扎实有效推进洞庭湖生态环境专项整治、大通湖流域水环境整治夏季攻势等重点任务。</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全市11个乡镇污水处理场及配套管网建设、白沙长河东岸长春垸沅江段西岸生态修复一期工程、下琼湖、石矶湖黑臭水体整治全面完成。清退南洞庭保护区欧美黑杨5.7万多亩。全年完成厕改1.32万户，清淤沟渠160公里。全市地表水达到或好于III类水体比例91.7%，高于年初目标0.7个百分点。长江经济带农业面源污染治理、畜禽养殖场粪污设施配套建设、赤山岛生态修复保护、大通湖流域水环境治理取得了明显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40" w:right="0" w:firstLine="321"/>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（六）扶贫工作成果显著。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40" w:right="0" w:firstLine="321"/>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1.易地扶贫搬迁工作。</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2017年以来共实施搬迁632户2006人，实施集中安置6个共建住房348套，总建筑面积26223平方米，安置搬迁户327户981人。“十三五”易地扶贫搬迁户核定已脱贫630户，脱贫率99.68%。搬迁对象实际搬迁入住632户，入住率100%。全市6个集中安置点基础设施与基本公共服务设施已配套完善，基础设施与基本公共服务设施覆盖率100%。搬迁户中落实产业、就业、兜底保障等后续帮扶措施户数632户，后续帮扶措施覆盖率100%。搬迁对象应拆除旧房458户（无房169户，联建户5户），已拆除旧房458户，旧房拆除率100%、宅基地复垦复绿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2.驻村帮扶工作。</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我局驻村帮扶工作队在市委组织部驻村办和市扶贫办的直接领导下，紧紧围绕打赢脱贫攻坚战这一主题，大处着眼，小处着手，扎实工作，稳步推进，帮助全村共脱贫158户，387人，全村只剩下兜底保障户熊赛武1户未脱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（七）经济发展环境不断优化。一是</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持续完善优化营商环境制度。起草了《沅江市促进民营经济高质量发展实施方案》、出台了《沅江市优化营商环境“二十条”》和《沅江市支持工业经济发展“二十条”》等文件，为进一步推动我市营商环境优化改善，提高服务效率和质量提供了制度保障。</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二是</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积极解决“优化营商环境执行年”痛点堵点问题。针对审批服务、监督执法、成本负担、公平信用、工作作风五个方面的100个痛点堵点问题，要求各整改部门开展自清自查，制定整改（防范）措施，有效落实。</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三是</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走访企业，深入调研，今年以来，我们对鑫海绳网、海荃游艇、中旺科技、新马制衣等60余家企业进行了走访、调研。通过走访，了解了园区内企业的生产周边环境、企业建设项目的建设环境、政务环境，企业目前存在的困难，并积极协调处理企业面对的问题。</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四是</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积极做好举报工作。2019年共接到沅江市银狐纺织有限公司反映环保对其处罚等问题、沅江波尔泰皮草有限公司反映出口退税以及农副产品收购发票问题等4件举报，均已回复办结。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1"/>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（八）抓好粮食管理工作，确保粮食安全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今年以来，粮食行业紧紧围绕“优质粮油工程”3个子项目开展了一系列卓有成就的工作：</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发展订单生产，推广优质特色粮油品种种植；</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积极创办“中国好粮油”示范基地，推动现代农业产业转型升级；</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积极申报“沅江大米”公共性品牌；</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4.</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加大科技创新力度，发展现代化粮油产业体系；</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深入推进“沅江大米”品牌建设工作，保护、维护“沅江大米”地域品牌，走品牌发展之路，并开展一系列的宣传活动，做好品牌宣传推介，拓宽了销售渠道；</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做好粮食产后服务中心项目，成功地减少了产后粮食损失、提高粮食质量，确保种粮农民的收益。</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7.</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构建好检测体系，更好的控制了品质指标和主要安全指标。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（九）其他工作有序推进。</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2019年，我局除亮点、重点工作之外，还切实加强了综治、宣传、安全、信访、计生、卫生、保密等相关工作，做到了年初有计划，年中有检查，年末有总结，确保了各项工作的有序推进。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（十）加强党风廉政建设，提高反腐倡廉能力。一是</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及时研究部署。坚持党组主要领导履行党风廉政建设和反腐败工作第一责任人政治职责，亲自部署、过问、协调、督办党风廉政和反腐败工作，将党风廉政建设融入全局中心工作的全过程、全方面。2019年先后组织召开党风廉政建设专题会议4次，研究贯彻省、市党风廉政建设工作会议精神，全面落实局党组主体责任，完善“一把手”负总责、分管领导分工负责、股室负责人一岗双责、机关干部人人有责的党风廉政建设责任机制。</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二是</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细化分解责任。完善《年度党风廉政建设责任制任务分工》，与支部、各股室签订《党风廉政建设责任书》，细化分解党组班子成员“一岗双责”工作任务，确保各级责任主体履职到位。</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三是</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强化警示教育。经常性的进行反腐倡廉教育和廉政警示教育，结合“不忘初心、牢记使命”主题教育活动，把反腐倡廉教育和廉政警示教育纳入党组中心组学习计划和机关党员干部学习教育计划，做到警钟长鸣，防患于未然。通过学习和廉洁自律教育，提高广大党员干部廉洁自律认识，促进了廉洁从政。2019年组织干职工两次前往沅江市、益阳市廉政基地参观学习；组织收看了廉政教育警示片《不可触碰的底线》；收看下塞湖案、聂纯昌案等沅江本土发生的系列腐败案件的相关视频，分析本质原因，以案促改；结合主题教育活动，赴丰堆轮革命旧址接受接受革命传统教育，坚定初心使命；不断强化从严治党要求，增强干部队伍廉洁自律意识，确保拒腐防变警钟长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（二）部门决算中项目绩效自评结果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通过认真对照《2019年沅江市部门整体支出绩效评价指标表》开展自评，我局在“投入”、“过程”、“产出”、“效果”等方面都执行较好，自评得分90分。资产管理安全性、固定资产利用率、履职效益方面有待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（三）以部门为主体开展的重点绩效评价结果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年以争取项目前期业务费作为重点绩效评价，2019年，共计15个项目使用专项资金，已拨382.5万元。其中：4个项目141.2万元在发改局帐户上拔付，12个项目241.3万元在财政局经建股帐户上拔付。2019年我中心的所有专项资金按照相关规定专款专用，项目资金基本实现收支平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至2019年12月底，我中心利用专项资金策划、包装、申报项目24个。其中，已完成的项目（14个）：2018年已入库的项目9个，2019年度入库的5个。他们是：造纸企业产能评估、白沙长河东岸长春垸沅江段西岸生态修复工程、2018年保障性安居工程配套基础设施建设项目。全国绿色食品原料（水稻）标准化基地续报、典型流域农业面源污染综合治理试点项目、产粮（油）大县制定土壤环境保护方案、龙虎山省级森林公园落界标注和总体规划编制、沅江市畜禽粪污资源化利用整市推进项目、《洞庭湖化肥农药农业废弃物污染整治工作方案》编制、湖南省现代农业特色产业集聚区（省级现代农业产业园）、大通湖湖泊沅江市流域水质达标方案编制、沅江市2019年洞庭湖生态经济区建设“五结合工程”项目实施方案、《沅江市芦苇菌产业发展规划（2019-2025）》编制、沅江市现代农业特色产业园区（2019-2021）。待完成项目（10个）：《沅江市乡村振兴战略规划（2018-2022年）》编制、阳罗洲镇田园综合体项目、阳罗面商标注册和地理保护标志申报、“沅江枳壳”农产品地理标志申报、南嘴镇乡村振兴项目、洞庭湖（沅江）水环境综合治理项目、“长江经济带沅江市农业面源污染综合治理项目”项目前期实施方案、南大膳傎中心敬老院、《省级创新县（市）建设方案》、国家农业产业强镇示范建设项目、《省级创新县（市）建设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已拨专项资金的项目15个，拨付专项资金382.5万元。为项目单位争取国家和上级资金近1.02亿元。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十、其他重要事项的情况说明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（一）预决算收支增减变化情况。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本部门2019年年初预算收入</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821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万元，比上年减少5万元，下降</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0.63</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%,增减变化的主要原因是：专项经费的核减。其中：一般公共预算财政拨款收入年初预算</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821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万元，比上年增减</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-5</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本部门2019年年初预算支出</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821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万元，比上年减少</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5</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万元，下降</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0.63</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%，增减变化的主要原因是节约开支。其中：基本支出年初预算</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646</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万元，比上年减少</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4</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万元，下降</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0.48</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%；项目支出年初预算</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175</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万元，比上年减少</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万元，下降</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0.15</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本部门2019年度机关运行经费支出67.93万元，较上年增减少51.51万元，增减43.13%，主要原因是：厉行节约，严控经费。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本部门2019年度政府采购303.96万元，其中，政府采购货物支出199.12万元，政府采购服务支出104.84万元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（四）国有资产占用情况。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本单位年末无车辆。年末无单价50万元以上通用设备。年末无单价100万元以上通用设备。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一、财政拨款收入：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指中央财政当年拨付的资金。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二、事业收入：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指事业单位开展专业业务活动及辅助活动所取得的收入。如：中国财政杂志社的刊物发行收入，中国注册会计师协会、中国资产评估协会、中国国债协会、中国会计学会收取的会费收入等。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三、经营收入：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指事业单位在专业业务活动及其辅助活动之外开展非独立核算经营活动取得的收入。如：中国财政杂志社广告收入等。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四、其他收入：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指除上述“财政拨款收入” 、 “事业收入” 、“经营收入”等以外的收入。主要是按规定动用的售房收入、存款利息收入等。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五、用事业基金弥补收支差额：</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六、年初结转和结余：</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七、结余分配：</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八、年末结转和结余：</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九、基本支出：</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指为保障机构正常运转、完成日常工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十、项目支出：</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十一、经营支出：</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十二、“三公”经费：</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十三、机关运行经费：</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宋体" w:hAnsi="宋体" w:eastAsia="宋体" w:cs="宋体"/>
          <w:i w:val="0"/>
          <w:caps w:val="0"/>
          <w:color w:val="000000"/>
          <w:spacing w:val="0"/>
          <w:sz w:val="44"/>
          <w:szCs w:val="44"/>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B2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2020-09-09T20:39:45Z</dcterms:created>
  <dc:creator>Administrator</dc:creator>
  <cp:lastModifiedBy>文虚空圣</cp:lastModifiedBy>
  <dcterms:modified xsi:type="dcterms:W3CDTF">2020-09-09T20:40:39Z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