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0466C7"/>
          <w:spacing w:val="0"/>
          <w:sz w:val="42"/>
          <w:szCs w:val="42"/>
        </w:rPr>
      </w:pPr>
      <w:r>
        <w:rPr>
          <w:rFonts w:hint="eastAsia" w:ascii="微软雅黑" w:hAnsi="微软雅黑" w:eastAsia="微软雅黑" w:cs="微软雅黑"/>
          <w:b w:val="0"/>
          <w:i w:val="0"/>
          <w:caps w:val="0"/>
          <w:color w:val="0466C7"/>
          <w:spacing w:val="0"/>
          <w:sz w:val="42"/>
          <w:szCs w:val="42"/>
          <w:bdr w:val="none" w:color="auto" w:sz="0" w:space="0"/>
          <w:shd w:val="clear" w:fill="FFFFFF"/>
        </w:rPr>
        <w:t>市图书馆2019年度部门决算公开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第一部分  沅江市图书馆概况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第二部分  沅江市图书馆2019年度部门决算表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第三部分  沅江市图书馆2019年度部门决算情况说明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第五部分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第一部分沅江市图书馆概况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沅江市图书馆是政府为保障公民基本文化权益设立的公益性文化事业机构，是国家向公民提供各类文化服务的公共文化设施。其主要职能职责：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沅江图书馆始建于1958年，迄今已有60多年的历史，由于馆舍陈旧，1995年，在原址上筹建新馆，1997年新馆落成开馆服务读者。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藏书187800册，年订报刊300余种，开设了报刊综合阅览室、综合图书外借室、少儿借阅室、参考咨询室、电子阅览室、国图文库、多媒体室、便民阅报室等8个服务窗口，所有服务窗口均对外实行免费开放，免费为读者提供办证、咨询、借阅等服务，每天开放时间为8：00—18：00,其中便民阅报室全年365天8：00—22：00向市民免费开放。现拥有常年持证读者4500余人，年接待读者10万余人次，年外借图书10万册次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我馆积极开展读书活动，推动地方文化的繁荣发展。有特色的读书活动有元宵灯谜晚会、少儿科普应急知识抢答赛、少儿百米长卷书画赛、名人名家读书讲座、送书下乡等。通过读书活动的开展，可以提高读者的阅读兴趣，提升读者的到馆率；通过送书下乡，能够部分解决偏僻地方农民看书难、查资料难的问题。我馆举办的多届少儿书画比赛，影响比较大，已成为我馆乃至我市的文化品牌，既吸引了大批少儿来馆借阅，为少儿成才提供了一个优质的平台；也使大多数家长加深了对图书馆的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沅江市图书馆为沅江市文化旅游广电体育局所属正股级公益类事业单位，核定全额拨款事业编制18名，纳入部门预算编制25人，其中：实有在职人数16人，退休人员8人,遗属1人。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从沅江市图书馆为沅江市文旅广体局下属二级机构，内设股室8个，决算单位1个。</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2202"/>
        <w:gridCol w:w="616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序号</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单位名称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1</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沅江市图书馆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2</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微软雅黑" w:hAnsi="微软雅黑" w:eastAsia="微软雅黑" w:cs="微软雅黑"/>
                <w:i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3</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微软雅黑" w:hAnsi="微软雅黑" w:eastAsia="微软雅黑" w:cs="微软雅黑"/>
                <w:i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4</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微软雅黑" w:hAnsi="微软雅黑" w:eastAsia="微软雅黑" w:cs="微软雅黑"/>
                <w:i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5</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微软雅黑" w:hAnsi="微软雅黑" w:eastAsia="微软雅黑" w:cs="微软雅黑"/>
                <w:i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3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6</w:t>
            </w:r>
          </w:p>
        </w:tc>
        <w:tc>
          <w:tcPr>
            <w:tcW w:w="6285" w:type="dxa"/>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微软雅黑" w:hAnsi="微软雅黑" w:eastAsia="微软雅黑" w:cs="微软雅黑"/>
                <w:i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第二部分沅江市图书馆2019年度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表1：收入支出决算总表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表2：收入决算表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表3：支出决算表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表4：财政拨款收入支出决算总表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表5：一般公共预算财政拨款支出决算表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表6：一般公共预算财政拨款基本支出决算表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表7：一般公共预算财政拨款“三公”经费支出决算表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表8：政府性基金预算财政拨款收入支出决算表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表8无数据，沅江市图书馆没有政府性基金收入，也没有政府性基金安排的支出，故本表无数据。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沅江市图书馆2019年度部门决算情况说明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一、关于沅江市图书馆2019年度收入支出决算总体情况说明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沅江市图书馆2019年度收入总计320.75万元，比上年同期增加77.69万元，增长32%；支出总计236.12万元，比上年同期减少3.04万元，减少2%；。主要原因：还有专项资金未付。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二、关于沅江市图书馆2019年度收入决算情况说明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2019年度收入合计320.75万元，其中：财政拨款收入280.85万元，占88%；事业收入0万元，占 0%；经营收入0万元，占0%；其他收入0万元，占0%；上级补助收入39.9万元，占12%。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三、关于沅江市图书馆2019年度支出决算情况说明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2019年度支出合计236.12万元，其中：基本支出182.41万元，占78%%；项目支出53.71万元，占22%；经营支出0万元，占 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四、关于沅江市图书馆2019年度财政拨款收入支出决算总体情况说明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 年度财政拨款收入总计320.75万元，比上年同期增长77.69万元，增加31.96%；变化原因是：专项拨款增加，财政拨款支出总计236.12万元，比上年同期减少3.03万元，下降1.27%。主要原因：支出减少。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五、关于沅江市图书馆2019年度一般公共预算财政拨款收入支出决算情况说明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（一）一般公共预算财政拨款收入支出决算总体情况。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 年度一般公共预算财政拨款收入总计280.85万元，比上年同期增加84.61万元，增长43.12%；变化原因是：专项拨款增加，一般公共预算财政拨款支出总计236.12万元，比上年同期减少3.03万元，减少1.27%。主要原因：支出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（二）一般公共预算财政拨款支出决算构成情况。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一般公共预算拨款支出236.12万元，主要用于以下方面：一般公共预算财政拨款基本支出182.41万元，占 77.25%；项目支出53.71万元，占22.75%。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（三）一般公共预算财政拨款支出决算具体情况。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1.一般公共预算财政财政拨款支出219.32万元，主要用于文化旅游体育与传媒支出。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 一般公共预算财政财政拨款支出 11.9万元，主要用于住房保障支出。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六、关于沅江市图书馆2019 年度一般公共预算财政拨款基本支出决算情况说明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2019年度一般公共预算财政拨款基本支出182.40万元，其中人员经费支出170.42万元，主要包括：基本工资、津贴补贴、伙食补助费、绩效工资 、机关事业单位基本养老保险缴费、职工基本医疗保险缴费、其他社会保障缴费、医疗费、住房公积金；公用经费支出11.98万元。主要包括：办公费、印刷费办公费、电费、邮电费、差旅费、、维修（护）费、工会费、其他交通费用、其他商品和服务支出、办公设备购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七、关于沅江市图书馆2019年度政府性基金预算财政拨款支出决算情况说明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（一）政府性基金预算财政拨款收入支出决算总体情况。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政府性基金预算财政拨款收入总计0万元，比上年同期增加/减少0万元，增长/下降0%；政府性基金预算财政拨款支出总计0万元，比上年同期增加/减少0万元，增长/下降0%。主要原因：图书馆没有政府性基金收入，也没有政府性基金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（二）政府性基金预算财政拨款支出决算构成情况。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（类）支出 0万元，占 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（三）政府性基金预算财政拨款支出决算具体情况。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1.（类）（款）（项）财政拨款支出 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八、关于沅江市图书馆2019 年度一般公共预算财政拨款“三公”经费支出决算情况说明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（一）“三公”经费财政拨款支出决算总体情况说明。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 年度“三公”经费财政拨款支出预算为1.5万元，支出决算为0.33万元，完成预算的22%，其中：因公出国（境）费支出决算为 0万元，完成预算的0%；公务用车购置及运行费支出决算为0万元，完成预算的0%；公务接待费支出决算为0.33万元，完成预算的22%。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（二）“三公”经费财政拨款支出决算具体情况说明。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2019年度“三公”经费财政拨款支出决算为1.5万元，其中：因公出国（境）费支出决算为 0万元，占0%；公务用车购置及运行费支出决算为0万元，占0%；公务接待费支出决算为0.33万元，占22%。2019年度“三公”经费支出决算数小于上年决算数的主要原因：减少接待。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1、因公出国（境）情况说明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因公出国（境）团组数0个，0人，因公出国（境）的开支内容：无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2、公务用车购置及运行经费情况说明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公务用车购置支出：0万元，购置数0台，保有量0台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运行经费支出：0万元。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3、公务接待情况说明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公务接待支出0.33万元，国内公务接待10批次，接待84人。接待支出主要用于免费开放工作餐招待。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九、关于 2019 年度预算绩效情况说明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（一）绩效管理工作开展情况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按照《沅江市财政局关于做好2019年度预算绩效自评工作的通知》（沅财绩〔2019〕2号）等有关文件精神，我单位对2019年度专项资金绩效开展了自评。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（二）部门决算中项目绩效自评结果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2019年我单位专项预算资金，在原预算口径内，资金使用效率高，管理严谨，财务手续健全。最大限度的起到了保障业务开展需要.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单位2019年度专项支出资金管理和分配都比较合理，资金拨付及时，资金使用合规，无截留、挪用、闲置现象，财务核算规范、资料齐全。对全市群众文化工作而言，规范了全市群众文化工作秩序，为全市的经济增长做出了一定的贡献，取得了良好的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（三）以部门为主体开展的重点绩效评价 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我单位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干职工而言，工资和福利得到了及时发放，生活有了保障，维护了社会的稳定。对项目资金的实施、资金投向及调度安排、固定资产购置及交付使用进行跟踪管理，确保项目资金专款专用。对于批量及单价在规定金额以上的物品采购，均实行政府采购制度。年度计划、重大支出等重大事项均经过班子会议集体讨论并报主管单位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（一）预决算收支增减变化情况。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度财政拨款预算收入183.93万元，与2018年相比增长13.70万元，增长8.05%，变化原因是：工资增加，预算支出201.25万元，与2018年相比，财政拨款预算支出增加31.01万元，增长18.22%，变化原因是：人员支出增加。决算收入320.75万元，与2018年相比增加77.69万元，增长31.96%，主要原因是：专项拨款增加。决算支出236.12万元，与2018年相比减少3.03万元，减少1.27%，主要原因是：支出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（二）机关运行经费支出情况。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本部门2019年度机关运行经费支出11.98万元，较上年增加4.55万元，增加61.23%，主要原因是：工会经费增加。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（三）政府采购支出情况。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本部门2019年度政府采购0万元，其中，政府采购货物支出0万元，政府采购工程支出0万元，政府采购服务支出0万元。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截至2019年12月31日，本部门无车辆，无单价值50万元以上通用设备，无单价100万正以上专用设备。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一、财政拨款收入：指中央财政当年拨付的资金。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三、经营收入：指事业单位在专业业务活动及其辅助活动之外开展非独立核算经营活动取得的收入。如：中国财政杂志社广告收入等。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四、其他收入：指除上述“财政拨款收入” 、 “事业收入” 、“经营收入”等以外的收入。主要是按规定动用的售房收入、存款利息收入等。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七、结余分配：指事业单位按规定提取的职工福利基金、事业基金和缴纳的所得税，以及建设单位按规定应交回的基本建设竣工项目结余资金。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九、基本支出：指为保障机构正常运转、完成日常工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十一、经营支出：指事业单位在专业业务活动及其辅助活动之外开展非独立核算经营活动发生的支出。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第五部分 附件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C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2020-09-09T19:46:57Z</dcterms:created>
  <dc:creator>Administrator</dc:creator>
  <cp:lastModifiedBy>文虚空圣</cp:lastModifiedBy>
  <dcterms:modified xsi:type="dcterms:W3CDTF">2020-09-09T19:47:28Z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