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65C9D">
      <w:pPr>
        <w:rPr>
          <w:rFonts w:ascii="Helvetica" w:hAnsi="Helvetica" w:cs="Helvetica" w:hint="eastAsia"/>
          <w:b/>
          <w:bCs/>
          <w:color w:val="000000"/>
          <w:sz w:val="46"/>
          <w:szCs w:val="46"/>
          <w:shd w:val="clear" w:color="auto" w:fill="FFFFFF"/>
        </w:rPr>
      </w:pPr>
      <w:r>
        <w:rPr>
          <w:rFonts w:ascii="Helvetica" w:hAnsi="Helvetica" w:cs="Helvetica"/>
          <w:b/>
          <w:bCs/>
          <w:color w:val="000000"/>
          <w:sz w:val="46"/>
          <w:szCs w:val="46"/>
          <w:shd w:val="clear" w:color="auto" w:fill="FFFFFF"/>
        </w:rPr>
        <w:t>妇联</w:t>
      </w:r>
      <w:r>
        <w:rPr>
          <w:rFonts w:ascii="Helvetica" w:hAnsi="Helvetica" w:cs="Helvetica"/>
          <w:b/>
          <w:bCs/>
          <w:color w:val="000000"/>
          <w:sz w:val="46"/>
          <w:szCs w:val="46"/>
          <w:shd w:val="clear" w:color="auto" w:fill="FFFFFF"/>
        </w:rPr>
        <w:t>2019</w:t>
      </w:r>
      <w:r>
        <w:rPr>
          <w:rFonts w:ascii="Helvetica" w:hAnsi="Helvetica" w:cs="Helvetica"/>
          <w:b/>
          <w:bCs/>
          <w:color w:val="000000"/>
          <w:sz w:val="46"/>
          <w:szCs w:val="46"/>
          <w:shd w:val="clear" w:color="auto" w:fill="FFFFFF"/>
        </w:rPr>
        <w:t>年度决算公开说明</w:t>
      </w:r>
    </w:p>
    <w:p w:rsidR="00365C9D" w:rsidRDefault="00365C9D">
      <w:pPr>
        <w:rPr>
          <w:rFonts w:ascii="Helvetica" w:hAnsi="Helvetica" w:cs="Helvetica" w:hint="eastAsia"/>
          <w:b/>
          <w:bCs/>
          <w:color w:val="000000"/>
          <w:sz w:val="46"/>
          <w:szCs w:val="46"/>
          <w:shd w:val="clear" w:color="auto" w:fill="FFFFFF"/>
        </w:rPr>
      </w:pPr>
    </w:p>
    <w:p w:rsidR="00365C9D" w:rsidRDefault="00365C9D" w:rsidP="00365C9D">
      <w:pPr>
        <w:pStyle w:val="a3"/>
        <w:shd w:val="clear" w:color="auto" w:fill="FFFFFF"/>
        <w:spacing w:before="0" w:beforeAutospacing="0" w:after="0" w:afterAutospacing="0" w:line="551" w:lineRule="atLeast"/>
        <w:ind w:firstLine="480"/>
        <w:jc w:val="center"/>
        <w:rPr>
          <w:rFonts w:ascii="Calibri" w:hAnsi="Calibri" w:cs="Calibri"/>
          <w:color w:val="333333"/>
          <w:sz w:val="21"/>
          <w:szCs w:val="21"/>
        </w:rPr>
      </w:pPr>
      <w:r>
        <w:rPr>
          <w:rFonts w:cs="Calibri" w:hint="eastAsia"/>
          <w:color w:val="333333"/>
          <w:sz w:val="44"/>
          <w:szCs w:val="44"/>
        </w:rPr>
        <w:t>目</w:t>
      </w:r>
      <w:r>
        <w:rPr>
          <w:rFonts w:ascii="方正小标宋_GBK" w:eastAsia="方正小标宋_GBK" w:hAnsi="Calibri" w:cs="Calibri" w:hint="eastAsia"/>
          <w:color w:val="333333"/>
          <w:sz w:val="44"/>
          <w:szCs w:val="44"/>
        </w:rPr>
        <w:t> </w:t>
      </w:r>
      <w:r>
        <w:rPr>
          <w:rFonts w:cs="Calibri" w:hint="eastAsia"/>
          <w:color w:val="333333"/>
          <w:sz w:val="44"/>
          <w:szCs w:val="44"/>
        </w:rPr>
        <w:t>录</w:t>
      </w:r>
    </w:p>
    <w:p w:rsidR="00365C9D" w:rsidRDefault="00365C9D" w:rsidP="00365C9D">
      <w:pPr>
        <w:pStyle w:val="a3"/>
        <w:shd w:val="clear" w:color="auto" w:fill="FFFFFF"/>
        <w:spacing w:before="0" w:beforeAutospacing="0" w:after="0" w:afterAutospacing="0" w:line="551" w:lineRule="atLeast"/>
        <w:ind w:firstLine="320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黑体" w:eastAsia="黑体" w:hAnsi="黑体" w:cs="Calibri" w:hint="eastAsia"/>
          <w:color w:val="333333"/>
          <w:sz w:val="32"/>
          <w:szCs w:val="32"/>
        </w:rPr>
        <w:t>第一部分 单位概况</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一、主要职能</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二、机构设置</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三、部门决算单位构成</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黑体" w:eastAsia="黑体" w:hAnsi="黑体" w:cs="Calibri" w:hint="eastAsia"/>
          <w:color w:val="333333"/>
          <w:sz w:val="32"/>
          <w:szCs w:val="32"/>
        </w:rPr>
        <w:t>第二部分 单位2019年度部门决算表</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一、收入支出决算总表</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二、收入决算表</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三、支出决算表</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四、财政拨款收入支出决算总表</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五、一般公共预算财政拨款支出决算表</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六、一般公共预算财政拨款基本支出决算表</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七、一般公共预算财政拨款“三公”经费支出决算表</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楷体" w:eastAsia="楷体" w:hAnsi="楷体" w:cs="Calibri" w:hint="eastAsia"/>
          <w:color w:val="333333"/>
          <w:sz w:val="32"/>
          <w:szCs w:val="32"/>
        </w:rPr>
        <w:t>八、政府性基金预算财政拨款收入支出决算表</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ascii="黑体" w:eastAsia="黑体" w:hAnsi="黑体" w:cs="Calibri" w:hint="eastAsia"/>
          <w:color w:val="333333"/>
          <w:sz w:val="32"/>
          <w:szCs w:val="32"/>
        </w:rPr>
        <w:t>第三部分 单位2019年度部门决算情况说明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t>一、收入支出决算总体情况说明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t>二、收入决算情况说明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lastRenderedPageBreak/>
        <w:t>三、支出决算情况说明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t>四、财政拨款收入支出决算总体情况说明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t>五、一般公共预算财政拨款支出决算情况说明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t>六、一般公共预算财政拨款基本支出决算情况说明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t>七、政府性基金预算财政拨款支出决算情况说明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t>八、一般公共预算财政拨款“三公”经费支出决算情况说明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t>九、预算绩效情况说明</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楷体" w:eastAsia="楷体" w:hAnsi="楷体" w:cs="Calibri" w:hint="eastAsia"/>
          <w:color w:val="333333"/>
          <w:sz w:val="32"/>
          <w:szCs w:val="32"/>
        </w:rPr>
        <w:t>十、其他重要事项情况说明</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jc w:val="both"/>
        <w:rPr>
          <w:rFonts w:ascii="Calibri" w:hAnsi="Calibri" w:cs="Calibri"/>
          <w:color w:val="333333"/>
          <w:sz w:val="21"/>
          <w:szCs w:val="21"/>
        </w:rPr>
      </w:pPr>
      <w:r>
        <w:rPr>
          <w:rFonts w:ascii="黑体" w:eastAsia="黑体" w:hAnsi="黑体" w:cs="Calibri" w:hint="eastAsia"/>
          <w:color w:val="333333"/>
          <w:sz w:val="32"/>
          <w:szCs w:val="32"/>
        </w:rPr>
        <w:t>第四部分</w:t>
      </w:r>
      <w:r>
        <w:rPr>
          <w:rFonts w:hint="eastAsia"/>
          <w:color w:val="333333"/>
          <w:sz w:val="32"/>
          <w:szCs w:val="32"/>
        </w:rPr>
        <w:t> </w:t>
      </w:r>
      <w:r>
        <w:rPr>
          <w:rFonts w:ascii="黑体" w:eastAsia="黑体" w:hAnsi="黑体" w:cs="Calibri" w:hint="eastAsia"/>
          <w:color w:val="333333"/>
          <w:sz w:val="32"/>
          <w:szCs w:val="32"/>
        </w:rPr>
        <w:t>名词解释</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lastRenderedPageBreak/>
        <w:t> </w:t>
      </w:r>
    </w:p>
    <w:p w:rsidR="00365C9D" w:rsidRDefault="00365C9D" w:rsidP="00365C9D">
      <w:pPr>
        <w:pStyle w:val="a3"/>
        <w:shd w:val="clear" w:color="auto" w:fill="FFFFFF"/>
        <w:spacing w:before="0" w:beforeAutospacing="0" w:after="0" w:afterAutospacing="0" w:line="551" w:lineRule="atLeast"/>
        <w:ind w:firstLine="480"/>
        <w:jc w:val="center"/>
        <w:rPr>
          <w:rFonts w:ascii="Calibri" w:hAnsi="Calibri" w:cs="Calibri"/>
          <w:color w:val="333333"/>
          <w:sz w:val="21"/>
          <w:szCs w:val="21"/>
        </w:rPr>
      </w:pPr>
      <w:r>
        <w:rPr>
          <w:rFonts w:cs="Calibri" w:hint="eastAsia"/>
          <w:color w:val="333333"/>
          <w:sz w:val="44"/>
          <w:szCs w:val="44"/>
        </w:rPr>
        <w:t> </w:t>
      </w:r>
    </w:p>
    <w:p w:rsidR="00365C9D" w:rsidRDefault="00365C9D" w:rsidP="00365C9D">
      <w:pPr>
        <w:pStyle w:val="a3"/>
        <w:shd w:val="clear" w:color="auto" w:fill="FFFFFF"/>
        <w:spacing w:before="0" w:beforeAutospacing="0" w:after="0" w:afterAutospacing="0" w:line="551" w:lineRule="atLeast"/>
        <w:ind w:firstLine="480"/>
        <w:jc w:val="center"/>
        <w:rPr>
          <w:rFonts w:ascii="Calibri" w:hAnsi="Calibri" w:cs="Calibri"/>
          <w:color w:val="333333"/>
          <w:sz w:val="21"/>
          <w:szCs w:val="21"/>
        </w:rPr>
      </w:pPr>
      <w:r>
        <w:rPr>
          <w:rFonts w:cs="Calibri" w:hint="eastAsia"/>
          <w:color w:val="333333"/>
          <w:sz w:val="44"/>
          <w:szCs w:val="44"/>
        </w:rPr>
        <w:t>第一部分</w:t>
      </w:r>
      <w:r>
        <w:rPr>
          <w:rFonts w:ascii="方正小标宋_GBK" w:eastAsia="方正小标宋_GBK" w:hAnsi="Calibri" w:cs="Calibri" w:hint="eastAsia"/>
          <w:color w:val="333333"/>
          <w:sz w:val="44"/>
          <w:szCs w:val="44"/>
        </w:rPr>
        <w:t> </w:t>
      </w:r>
      <w:r>
        <w:rPr>
          <w:rFonts w:cs="Calibri" w:hint="eastAsia"/>
          <w:color w:val="333333"/>
          <w:sz w:val="44"/>
          <w:szCs w:val="44"/>
        </w:rPr>
        <w:t>单位概况</w:t>
      </w:r>
    </w:p>
    <w:p w:rsidR="00365C9D" w:rsidRDefault="00365C9D" w:rsidP="00365C9D">
      <w:pPr>
        <w:pStyle w:val="a3"/>
        <w:shd w:val="clear" w:color="auto" w:fill="FFFFFF"/>
        <w:spacing w:before="0" w:beforeAutospacing="0" w:after="0" w:afterAutospacing="0" w:line="551" w:lineRule="atLeast"/>
        <w:ind w:firstLine="480"/>
        <w:jc w:val="center"/>
        <w:rPr>
          <w:rFonts w:ascii="Calibri" w:hAnsi="Calibri" w:cs="Calibri"/>
          <w:color w:val="333333"/>
          <w:sz w:val="21"/>
          <w:szCs w:val="21"/>
        </w:rPr>
      </w:pPr>
      <w:r>
        <w:rPr>
          <w:rFonts w:ascii="方正小标宋_GBK" w:eastAsia="方正小标宋_GBK" w:hAnsi="Calibri" w:cs="Calibri" w:hint="eastAsia"/>
          <w:color w:val="333333"/>
          <w:sz w:val="44"/>
          <w:szCs w:val="44"/>
        </w:rPr>
        <w:t> </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黑体" w:eastAsia="黑体" w:hAnsi="黑体" w:cs="Calibri" w:hint="eastAsia"/>
          <w:color w:val="333333"/>
          <w:sz w:val="32"/>
          <w:szCs w:val="32"/>
        </w:rPr>
        <w:t>一、主要职能</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贯彻执行党和国家有关妇女工作的方针、政策，促进男女平等；</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对全市各级妇女组织实行业务领导；</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围绕中心，服务大局，动员和组织广大妇女参与改革和经济建设；</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教育和引导妇女树立自尊、自信、自立、自强的精神，提高素质，发掘其优势和潜能，促进妇女人才成长；</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开展群众性精神文明创建活动，促进我市精神文明建设；</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代表和维护妇女儿童合法权益，协助市政府制定《两纲规划》，并组织实施；</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为妇女儿童服务，为妇女儿童做实事、办好事；</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加强妇联组织自身建设，配合抓好家庭教育工作，加强与社会各界妇女联系联谊。</w:t>
      </w:r>
      <w:r>
        <w:rPr>
          <w:rFonts w:ascii="方正仿宋简体" w:eastAsia="方正仿宋简体" w:hAnsi="Calibri" w:cs="Calibri"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left="795" w:hanging="795"/>
        <w:jc w:val="both"/>
        <w:rPr>
          <w:rFonts w:ascii="Calibri" w:hAnsi="Calibri" w:cs="Calibri"/>
          <w:color w:val="333333"/>
          <w:sz w:val="21"/>
          <w:szCs w:val="21"/>
        </w:rPr>
      </w:pPr>
      <w:r>
        <w:rPr>
          <w:rFonts w:ascii="黑体" w:eastAsia="黑体" w:hAnsi="黑体" w:cs="Calibri" w:hint="eastAsia"/>
          <w:color w:val="333333"/>
          <w:sz w:val="32"/>
          <w:szCs w:val="32"/>
        </w:rPr>
        <w:t>二、机构设置</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t>我会根据编办三定方案，设1个内设机构办公室。</w:t>
      </w:r>
    </w:p>
    <w:p w:rsidR="00365C9D" w:rsidRDefault="00365C9D" w:rsidP="00365C9D">
      <w:pPr>
        <w:pStyle w:val="a3"/>
        <w:shd w:val="clear" w:color="auto" w:fill="FFFFFF"/>
        <w:spacing w:before="0" w:beforeAutospacing="0" w:after="0" w:afterAutospacing="0" w:line="551" w:lineRule="atLeast"/>
        <w:ind w:left="795" w:hanging="795"/>
        <w:rPr>
          <w:rFonts w:ascii="Calibri" w:hAnsi="Calibri" w:cs="Calibri"/>
          <w:color w:val="333333"/>
          <w:sz w:val="21"/>
          <w:szCs w:val="21"/>
        </w:rPr>
      </w:pPr>
      <w:r>
        <w:rPr>
          <w:rFonts w:ascii="黑体" w:eastAsia="黑体" w:hAnsi="黑体" w:cs="Calibri" w:hint="eastAsia"/>
          <w:color w:val="333333"/>
          <w:sz w:val="32"/>
          <w:szCs w:val="32"/>
        </w:rPr>
        <w:t>三、部门决算单位构成</w:t>
      </w:r>
    </w:p>
    <w:p w:rsidR="00365C9D" w:rsidRDefault="00365C9D" w:rsidP="00365C9D">
      <w:pPr>
        <w:pStyle w:val="a3"/>
        <w:shd w:val="clear" w:color="auto" w:fill="FFFFFF"/>
        <w:spacing w:before="0" w:beforeAutospacing="0" w:after="0" w:afterAutospacing="0" w:line="551" w:lineRule="atLeast"/>
        <w:ind w:firstLine="640"/>
        <w:jc w:val="both"/>
        <w:rPr>
          <w:rFonts w:ascii="Calibri" w:hAnsi="Calibri" w:cs="Calibri"/>
          <w:color w:val="333333"/>
          <w:sz w:val="21"/>
          <w:szCs w:val="21"/>
        </w:rPr>
      </w:pPr>
      <w:r>
        <w:rPr>
          <w:rFonts w:ascii="仿宋" w:eastAsia="仿宋" w:hAnsi="仿宋" w:cs="Calibri" w:hint="eastAsia"/>
          <w:color w:val="333333"/>
          <w:sz w:val="32"/>
          <w:szCs w:val="32"/>
        </w:rPr>
        <w:lastRenderedPageBreak/>
        <w:t>本单位部门决算由沅江市妇女联合会单位部门决算构成。</w:t>
      </w:r>
    </w:p>
    <w:p w:rsidR="00365C9D" w:rsidRDefault="00365C9D" w:rsidP="00365C9D">
      <w:pPr>
        <w:pStyle w:val="a3"/>
        <w:shd w:val="clear" w:color="auto" w:fill="FFFFFF"/>
        <w:spacing w:before="0" w:beforeAutospacing="0" w:after="0" w:afterAutospacing="0" w:line="551" w:lineRule="atLeast"/>
        <w:ind w:firstLine="48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center"/>
        <w:rPr>
          <w:rFonts w:ascii="Calibri" w:hAnsi="Calibri" w:cs="Calibri"/>
          <w:color w:val="333333"/>
          <w:sz w:val="21"/>
          <w:szCs w:val="21"/>
        </w:rPr>
      </w:pPr>
      <w:r>
        <w:rPr>
          <w:rFonts w:cs="Calibri" w:hint="eastAsia"/>
          <w:color w:val="333333"/>
          <w:sz w:val="44"/>
          <w:szCs w:val="44"/>
        </w:rPr>
        <w:t>第二部分</w:t>
      </w:r>
      <w:r>
        <w:rPr>
          <w:rFonts w:ascii="方正小标宋_GBK" w:eastAsia="方正小标宋_GBK" w:hAnsi="Calibri" w:cs="Calibri" w:hint="eastAsia"/>
          <w:color w:val="333333"/>
          <w:sz w:val="44"/>
          <w:szCs w:val="44"/>
        </w:rPr>
        <w:t> </w:t>
      </w:r>
      <w:r>
        <w:rPr>
          <w:rFonts w:cs="Calibri" w:hint="eastAsia"/>
          <w:color w:val="333333"/>
          <w:sz w:val="44"/>
          <w:szCs w:val="44"/>
        </w:rPr>
        <w:t>单位</w:t>
      </w:r>
      <w:r>
        <w:rPr>
          <w:rFonts w:ascii="方正小标宋_GBK" w:eastAsia="方正小标宋_GBK" w:hAnsi="Calibri" w:cs="Calibri" w:hint="eastAsia"/>
          <w:color w:val="333333"/>
          <w:sz w:val="44"/>
          <w:szCs w:val="44"/>
        </w:rPr>
        <w:t>2019</w:t>
      </w:r>
      <w:r>
        <w:rPr>
          <w:rFonts w:cs="Calibri" w:hint="eastAsia"/>
          <w:color w:val="333333"/>
          <w:sz w:val="44"/>
          <w:szCs w:val="44"/>
        </w:rPr>
        <w:t>年度部门决算表</w:t>
      </w:r>
    </w:p>
    <w:p w:rsidR="00365C9D" w:rsidRDefault="00365C9D" w:rsidP="00365C9D">
      <w:pPr>
        <w:pStyle w:val="a3"/>
        <w:shd w:val="clear" w:color="auto" w:fill="FFFFFF"/>
        <w:spacing w:before="0" w:beforeAutospacing="0" w:after="0" w:afterAutospacing="0" w:line="551" w:lineRule="atLeast"/>
        <w:ind w:firstLine="640"/>
        <w:jc w:val="both"/>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仿宋" w:eastAsia="仿宋" w:hAnsi="仿宋" w:cs="Calibri" w:hint="eastAsia"/>
          <w:color w:val="333333"/>
          <w:sz w:val="32"/>
          <w:szCs w:val="32"/>
        </w:rPr>
        <w:t>表1：收入支出决算总表</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仿宋" w:eastAsia="仿宋" w:hAnsi="仿宋" w:cs="Calibri" w:hint="eastAsia"/>
          <w:color w:val="333333"/>
          <w:sz w:val="32"/>
          <w:szCs w:val="32"/>
        </w:rPr>
        <w:t>表2：收入决算表</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仿宋" w:eastAsia="仿宋" w:hAnsi="仿宋" w:cs="Calibri" w:hint="eastAsia"/>
          <w:color w:val="333333"/>
          <w:sz w:val="32"/>
          <w:szCs w:val="32"/>
        </w:rPr>
        <w:t>表3：支出决算表</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仿宋" w:eastAsia="仿宋" w:hAnsi="仿宋" w:cs="Calibri" w:hint="eastAsia"/>
          <w:color w:val="333333"/>
          <w:sz w:val="32"/>
          <w:szCs w:val="32"/>
        </w:rPr>
        <w:t>表4：财政拨款收入支出决算总表</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仿宋" w:eastAsia="仿宋" w:hAnsi="仿宋" w:cs="Calibri" w:hint="eastAsia"/>
          <w:color w:val="333333"/>
          <w:sz w:val="32"/>
          <w:szCs w:val="32"/>
        </w:rPr>
        <w:t>表5：一般公共预算财政拨款支出决算表</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仿宋" w:eastAsia="仿宋" w:hAnsi="仿宋" w:cs="Calibri" w:hint="eastAsia"/>
          <w:color w:val="333333"/>
          <w:sz w:val="32"/>
          <w:szCs w:val="32"/>
        </w:rPr>
        <w:t>表6：一般公共预算财政拨款基本支出决算表</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仿宋" w:eastAsia="仿宋" w:hAnsi="仿宋" w:cs="Calibri" w:hint="eastAsia"/>
          <w:color w:val="333333"/>
          <w:sz w:val="32"/>
          <w:szCs w:val="32"/>
        </w:rPr>
        <w:t>表7：一般公共预算财政拨款“三公”经费支出决算表</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color w:val="333333"/>
          <w:sz w:val="32"/>
          <w:szCs w:val="32"/>
        </w:rPr>
        <w:t>表7无数据，单位本年度无“三公”经费支出，故本表无数据。</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仿宋" w:eastAsia="仿宋" w:hAnsi="仿宋" w:cs="Calibri" w:hint="eastAsia"/>
          <w:color w:val="333333"/>
          <w:sz w:val="32"/>
          <w:szCs w:val="32"/>
        </w:rPr>
        <w:t>表8：政府性基金预算财政拨款收入支出决算表</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hint="eastAsia"/>
          <w:b/>
          <w:bCs/>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center"/>
        <w:rPr>
          <w:rFonts w:ascii="Calibri" w:hAnsi="Calibri" w:cs="Calibri"/>
          <w:color w:val="333333"/>
          <w:sz w:val="21"/>
          <w:szCs w:val="21"/>
        </w:rPr>
      </w:pPr>
      <w:r>
        <w:rPr>
          <w:rFonts w:cs="Calibri" w:hint="eastAsia"/>
          <w:color w:val="333333"/>
          <w:sz w:val="44"/>
          <w:szCs w:val="44"/>
        </w:rPr>
        <w:t>第三部分</w:t>
      </w:r>
    </w:p>
    <w:p w:rsidR="00365C9D" w:rsidRDefault="00365C9D" w:rsidP="00365C9D">
      <w:pPr>
        <w:pStyle w:val="a3"/>
        <w:shd w:val="clear" w:color="auto" w:fill="FFFFFF"/>
        <w:spacing w:before="0" w:beforeAutospacing="0" w:after="0" w:afterAutospacing="0" w:line="551" w:lineRule="atLeast"/>
        <w:ind w:firstLine="480"/>
        <w:jc w:val="center"/>
        <w:rPr>
          <w:rFonts w:ascii="Calibri" w:hAnsi="Calibri" w:cs="Calibri"/>
          <w:color w:val="333333"/>
          <w:sz w:val="21"/>
          <w:szCs w:val="21"/>
        </w:rPr>
      </w:pPr>
      <w:r>
        <w:rPr>
          <w:rFonts w:cs="Calibri" w:hint="eastAsia"/>
          <w:color w:val="333333"/>
          <w:sz w:val="44"/>
          <w:szCs w:val="44"/>
        </w:rPr>
        <w:t>单位</w:t>
      </w:r>
      <w:r>
        <w:rPr>
          <w:rFonts w:ascii="方正小标宋_GBK" w:eastAsia="方正小标宋_GBK" w:hAnsi="Calibri" w:cs="Calibri" w:hint="eastAsia"/>
          <w:color w:val="333333"/>
          <w:sz w:val="44"/>
          <w:szCs w:val="44"/>
        </w:rPr>
        <w:t>2019</w:t>
      </w:r>
      <w:r>
        <w:rPr>
          <w:rFonts w:cs="Calibri" w:hint="eastAsia"/>
          <w:color w:val="333333"/>
          <w:sz w:val="44"/>
          <w:szCs w:val="44"/>
        </w:rPr>
        <w:t>年度部门决算情况说明</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黑体" w:eastAsia="黑体" w:hAnsi="黑体" w:cs="Calibri" w:hint="eastAsia"/>
          <w:color w:val="333333"/>
          <w:sz w:val="32"/>
          <w:szCs w:val="32"/>
        </w:rPr>
        <w:t>一、关于单位</w:t>
      </w:r>
      <w:r>
        <w:rPr>
          <w:rFonts w:hint="eastAsia"/>
          <w:color w:val="333333"/>
          <w:sz w:val="32"/>
          <w:szCs w:val="32"/>
        </w:rPr>
        <w:t> </w:t>
      </w:r>
      <w:r>
        <w:rPr>
          <w:rFonts w:ascii="黑体" w:eastAsia="黑体" w:hAnsi="黑体" w:cs="黑体" w:hint="eastAsia"/>
          <w:color w:val="333333"/>
          <w:sz w:val="32"/>
          <w:szCs w:val="32"/>
        </w:rPr>
        <w:t>201</w:t>
      </w:r>
      <w:r>
        <w:rPr>
          <w:rFonts w:ascii="黑体" w:eastAsia="黑体" w:hAnsi="黑体" w:cs="Calibri" w:hint="eastAsia"/>
          <w:color w:val="333333"/>
          <w:sz w:val="32"/>
          <w:szCs w:val="32"/>
        </w:rPr>
        <w:t>9年度收入支出决算总体情况说明</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单位2019年度收入总计165.83万元，比上年同期减少45.05万元，下降21.36%；支出总计153.06万元，比上年</w:t>
      </w:r>
      <w:r>
        <w:rPr>
          <w:rFonts w:ascii="仿宋" w:eastAsia="仿宋" w:hAnsi="仿宋" w:cs="Calibri" w:hint="eastAsia"/>
          <w:color w:val="333333"/>
          <w:sz w:val="32"/>
          <w:szCs w:val="32"/>
        </w:rPr>
        <w:lastRenderedPageBreak/>
        <w:t>同期减少59.36万元，下降27.94%；。主要原因：2019年度较2018年度收入来源减少，项目支出减少。</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left="720" w:firstLine="480"/>
        <w:rPr>
          <w:rFonts w:ascii="Calibri" w:hAnsi="Calibri" w:cs="Calibri"/>
          <w:color w:val="333333"/>
          <w:sz w:val="21"/>
          <w:szCs w:val="21"/>
        </w:rPr>
      </w:pPr>
      <w:r>
        <w:rPr>
          <w:rFonts w:ascii="黑体" w:eastAsia="黑体" w:hAnsi="黑体" w:cs="Calibri" w:hint="eastAsia"/>
          <w:color w:val="333333"/>
          <w:sz w:val="32"/>
          <w:szCs w:val="32"/>
        </w:rPr>
        <w:t>二、关于单位2019年度收入决算情况说明</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2019年度收入合计165.83万元，其中：财政拨款收入85.43万元，占51.52%；其他收入80.4万元，占48.48%。</w:t>
      </w:r>
    </w:p>
    <w:p w:rsidR="00365C9D" w:rsidRDefault="00365C9D" w:rsidP="00365C9D">
      <w:pPr>
        <w:pStyle w:val="a3"/>
        <w:shd w:val="clear" w:color="auto" w:fill="FFFFFF"/>
        <w:spacing w:before="0" w:beforeAutospacing="0" w:after="0" w:afterAutospacing="0" w:line="551" w:lineRule="atLeast"/>
        <w:ind w:left="720" w:firstLine="480"/>
        <w:rPr>
          <w:rFonts w:ascii="Calibri" w:hAnsi="Calibri" w:cs="Calibri"/>
          <w:color w:val="333333"/>
          <w:sz w:val="21"/>
          <w:szCs w:val="21"/>
        </w:rPr>
      </w:pPr>
      <w:r>
        <w:rPr>
          <w:rFonts w:ascii="黑体" w:eastAsia="黑体" w:hAnsi="黑体" w:cs="Calibri" w:hint="eastAsia"/>
          <w:color w:val="333333"/>
          <w:sz w:val="32"/>
          <w:szCs w:val="32"/>
        </w:rPr>
        <w:t>三、关于单位2019年度支出决算情况说明</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2019年度支出合计153.06万元，其中：基本支出49.16万元，占32.12%；项目支出103.90万元，占67.88%。</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hint="eastAsia"/>
          <w:color w:val="333333"/>
          <w:sz w:val="32"/>
          <w:szCs w:val="32"/>
        </w:rPr>
        <w:t> </w:t>
      </w:r>
      <w:r>
        <w:rPr>
          <w:rFonts w:ascii="黑体" w:eastAsia="黑体" w:hAnsi="黑体" w:cs="Calibri" w:hint="eastAsia"/>
          <w:color w:val="333333"/>
          <w:sz w:val="32"/>
          <w:szCs w:val="32"/>
        </w:rPr>
        <w:t>四、关于单位2019年度财政拨款收入支出决算总体情况说明</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hint="eastAsia"/>
          <w:color w:val="333333"/>
          <w:sz w:val="32"/>
          <w:szCs w:val="32"/>
        </w:rPr>
        <w:t> </w:t>
      </w:r>
      <w:r>
        <w:rPr>
          <w:rFonts w:ascii="仿宋" w:eastAsia="仿宋" w:hAnsi="仿宋" w:cs="仿宋" w:hint="eastAsia"/>
          <w:color w:val="333333"/>
          <w:sz w:val="32"/>
          <w:szCs w:val="32"/>
        </w:rPr>
        <w:t>201</w:t>
      </w:r>
      <w:r>
        <w:rPr>
          <w:rFonts w:ascii="仿宋" w:eastAsia="仿宋" w:hAnsi="仿宋" w:cs="Calibri" w:hint="eastAsia"/>
          <w:color w:val="333333"/>
          <w:sz w:val="32"/>
          <w:szCs w:val="32"/>
        </w:rPr>
        <w:t>9年度财政拨款收入总计85.43万元，比上年同期减少21.15万元，下降19.84%；财政拨款支出总计88.82万元，比上年同期减少34.41万元，下降27.92%。主要原因：收入来源减少，项目支出减少。</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黑体" w:eastAsia="黑体" w:hAnsi="黑体" w:cs="Calibri" w:hint="eastAsia"/>
          <w:color w:val="333333"/>
          <w:sz w:val="32"/>
          <w:szCs w:val="32"/>
        </w:rPr>
        <w:t>五、关于单位2019年度一般公共预算财政拨款收入支出决算情况说明</w:t>
      </w:r>
    </w:p>
    <w:p w:rsidR="00365C9D" w:rsidRDefault="00365C9D" w:rsidP="00365C9D">
      <w:pPr>
        <w:pStyle w:val="a3"/>
        <w:shd w:val="clear" w:color="auto" w:fill="FFFFFF"/>
        <w:spacing w:before="0" w:beforeAutospacing="0" w:after="0" w:afterAutospacing="0" w:line="551" w:lineRule="atLeast"/>
        <w:ind w:firstLine="320"/>
        <w:rPr>
          <w:rFonts w:ascii="Calibri" w:hAnsi="Calibri" w:cs="Calibri"/>
          <w:color w:val="333333"/>
          <w:sz w:val="21"/>
          <w:szCs w:val="21"/>
        </w:rPr>
      </w:pPr>
      <w:r>
        <w:rPr>
          <w:rFonts w:ascii="楷体" w:eastAsia="楷体" w:hAnsi="楷体" w:cs="Calibri" w:hint="eastAsia"/>
          <w:color w:val="333333"/>
          <w:sz w:val="32"/>
          <w:szCs w:val="32"/>
        </w:rPr>
        <w:t>（一）一般公共预算财政拨款收入支出决算总体情况。</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2019年度一般公共预算财政拨款收入总计71.03万元，比上年同期减少29.55万元，下降29.38%；一般公共预算财</w:t>
      </w:r>
      <w:r>
        <w:rPr>
          <w:rFonts w:ascii="仿宋" w:eastAsia="仿宋" w:hAnsi="仿宋" w:cs="Calibri" w:hint="eastAsia"/>
          <w:color w:val="333333"/>
          <w:sz w:val="32"/>
          <w:szCs w:val="32"/>
        </w:rPr>
        <w:lastRenderedPageBreak/>
        <w:t>政拨款支出总计74.42万元，比上年同期减少42.81万元，下降36.52%。主要原因：基本支出、项目支出收入减少。</w:t>
      </w:r>
    </w:p>
    <w:p w:rsidR="00365C9D" w:rsidRDefault="00365C9D" w:rsidP="00365C9D">
      <w:pPr>
        <w:pStyle w:val="a3"/>
        <w:shd w:val="clear" w:color="auto" w:fill="FFFFFF"/>
        <w:spacing w:before="0" w:beforeAutospacing="0" w:after="0" w:afterAutospacing="0" w:line="551" w:lineRule="atLeast"/>
        <w:ind w:firstLine="320"/>
        <w:rPr>
          <w:rFonts w:ascii="Calibri" w:hAnsi="Calibri" w:cs="Calibri"/>
          <w:color w:val="333333"/>
          <w:sz w:val="21"/>
          <w:szCs w:val="21"/>
        </w:rPr>
      </w:pPr>
      <w:r>
        <w:rPr>
          <w:rFonts w:ascii="楷体" w:eastAsia="楷体" w:hAnsi="楷体" w:cs="Calibri" w:hint="eastAsia"/>
          <w:color w:val="333333"/>
          <w:sz w:val="32"/>
          <w:szCs w:val="32"/>
        </w:rPr>
        <w:t>（二）一般公共预算财政拨款支出决算构成情况。</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hint="eastAsia"/>
          <w:color w:val="333333"/>
          <w:sz w:val="32"/>
          <w:szCs w:val="32"/>
        </w:rPr>
        <w:t>   </w:t>
      </w:r>
      <w:r>
        <w:rPr>
          <w:rFonts w:ascii="仿宋" w:eastAsia="仿宋" w:hAnsi="仿宋" w:cs="Calibri" w:hint="eastAsia"/>
          <w:color w:val="333333"/>
          <w:sz w:val="32"/>
          <w:szCs w:val="32"/>
        </w:rPr>
        <w:t>一般公共服务支出（类）支出</w:t>
      </w:r>
      <w:r>
        <w:rPr>
          <w:rFonts w:hint="eastAsia"/>
          <w:color w:val="333333"/>
          <w:sz w:val="32"/>
          <w:szCs w:val="32"/>
        </w:rPr>
        <w:t> </w:t>
      </w:r>
      <w:r>
        <w:rPr>
          <w:rFonts w:ascii="仿宋" w:eastAsia="仿宋" w:hAnsi="仿宋" w:cs="Calibri" w:hint="eastAsia"/>
          <w:color w:val="333333"/>
          <w:sz w:val="32"/>
          <w:szCs w:val="32"/>
        </w:rPr>
        <w:t>72.23万元，占97.06%；</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hint="eastAsia"/>
          <w:color w:val="333333"/>
          <w:sz w:val="32"/>
          <w:szCs w:val="32"/>
        </w:rPr>
        <w:t>   </w:t>
      </w:r>
      <w:r>
        <w:rPr>
          <w:rFonts w:ascii="仿宋" w:eastAsia="仿宋" w:hAnsi="仿宋" w:cs="Calibri" w:hint="eastAsia"/>
          <w:color w:val="333333"/>
          <w:sz w:val="32"/>
          <w:szCs w:val="32"/>
        </w:rPr>
        <w:t>住房保障支出（类）支出2.19万元，占2.94%。</w:t>
      </w:r>
    </w:p>
    <w:p w:rsidR="00365C9D" w:rsidRDefault="00365C9D" w:rsidP="00365C9D">
      <w:pPr>
        <w:pStyle w:val="a3"/>
        <w:shd w:val="clear" w:color="auto" w:fill="FFFFFF"/>
        <w:spacing w:before="0" w:beforeAutospacing="0" w:after="0" w:afterAutospacing="0" w:line="551" w:lineRule="atLeast"/>
        <w:ind w:firstLine="320"/>
        <w:rPr>
          <w:rFonts w:ascii="Calibri" w:hAnsi="Calibri" w:cs="Calibri"/>
          <w:color w:val="333333"/>
          <w:sz w:val="21"/>
          <w:szCs w:val="21"/>
        </w:rPr>
      </w:pPr>
      <w:r>
        <w:rPr>
          <w:rFonts w:ascii="楷体" w:eastAsia="楷体" w:hAnsi="楷体" w:cs="Calibri" w:hint="eastAsia"/>
          <w:color w:val="333333"/>
          <w:sz w:val="32"/>
          <w:szCs w:val="32"/>
        </w:rPr>
        <w:t>（三）一般公共预算财政拨款支出决算具体情况。</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1.一般公共服务支出（类）群众团体事务（款）行政运行（项）财政拨款支出35.23万元，主要用于基本支出。</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2.一般公共服务支出（类）群众团体事务（款）事业运行（项）财政拨款支出37万元，主要用于项目支出。</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3.</w:t>
      </w:r>
      <w:r>
        <w:rPr>
          <w:rFonts w:hint="eastAsia"/>
          <w:color w:val="333333"/>
          <w:sz w:val="32"/>
          <w:szCs w:val="32"/>
        </w:rPr>
        <w:t> </w:t>
      </w:r>
      <w:r>
        <w:rPr>
          <w:rFonts w:ascii="仿宋" w:eastAsia="仿宋" w:hAnsi="仿宋" w:cs="Calibri" w:hint="eastAsia"/>
          <w:color w:val="333333"/>
          <w:sz w:val="32"/>
          <w:szCs w:val="32"/>
        </w:rPr>
        <w:t>住房保障支出（类）住房改革支出（款）住房公积金（项）财政拨款支出2.19万元，主要用于干部住房公积金单位部分缴款。</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黑体" w:eastAsia="黑体" w:hAnsi="黑体" w:cs="Calibri" w:hint="eastAsia"/>
          <w:color w:val="333333"/>
          <w:sz w:val="32"/>
          <w:szCs w:val="32"/>
        </w:rPr>
        <w:t>六、关于单位2019年度一般公共预算财政拨款基本支出决算情况说明</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2019年度一般公共预算财政拨款基本支出37.42万元，其中人员经费支出32.92万元，主要包括：基本工资、津贴补贴、奖金、养老保险、医疗保险、住房公积金、退休费、生活补助等；公用经费支出4.5万元。主要包括：办公费、印刷费、电费、邮电费、差旅费、会议费、培训费、劳务费、工会经费、其他交通费用等。</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黑体" w:eastAsia="黑体" w:hAnsi="黑体" w:cs="Calibri" w:hint="eastAsia"/>
          <w:color w:val="333333"/>
          <w:sz w:val="32"/>
          <w:szCs w:val="32"/>
        </w:rPr>
        <w:lastRenderedPageBreak/>
        <w:t>七、关于单位2019年度政府性基金预算财政拨款支出决算情况说明</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楷体" w:eastAsia="楷体" w:hAnsi="楷体" w:cs="Calibri" w:hint="eastAsia"/>
          <w:color w:val="333333"/>
          <w:sz w:val="32"/>
          <w:szCs w:val="32"/>
        </w:rPr>
        <w:t>（一）政府性基金预算财政拨款收入支出决算总体情况。</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2019年度政府性基金预算财政拨款收入总计14.40万元，比上年同期增加8.4万元，增长140%；政府性基金预算财政拨款支出总计14.40万元，比上年同期增加8.4万元，增长140%。主要原因：</w:t>
      </w:r>
      <w:proofErr w:type="gramStart"/>
      <w:r>
        <w:rPr>
          <w:rFonts w:ascii="仿宋" w:eastAsia="仿宋" w:hAnsi="仿宋" w:cs="Calibri" w:hint="eastAsia"/>
          <w:color w:val="333333"/>
          <w:sz w:val="32"/>
          <w:szCs w:val="32"/>
        </w:rPr>
        <w:t>两癌补助</w:t>
      </w:r>
      <w:proofErr w:type="gramEnd"/>
      <w:r>
        <w:rPr>
          <w:rFonts w:ascii="仿宋" w:eastAsia="仿宋" w:hAnsi="仿宋" w:cs="Calibri" w:hint="eastAsia"/>
          <w:color w:val="333333"/>
          <w:sz w:val="32"/>
          <w:szCs w:val="32"/>
        </w:rPr>
        <w:t>增加。</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楷体" w:eastAsia="楷体" w:hAnsi="楷体" w:cs="Calibri" w:hint="eastAsia"/>
          <w:color w:val="333333"/>
          <w:sz w:val="32"/>
          <w:szCs w:val="32"/>
        </w:rPr>
        <w:t>（二）政府性基金预算财政拨款支出决算构成情况。</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hint="eastAsia"/>
          <w:color w:val="333333"/>
          <w:sz w:val="32"/>
          <w:szCs w:val="32"/>
        </w:rPr>
        <w:t>   </w:t>
      </w:r>
      <w:r>
        <w:rPr>
          <w:rFonts w:ascii="仿宋" w:eastAsia="仿宋" w:hAnsi="仿宋" w:cs="Calibri" w:hint="eastAsia"/>
          <w:color w:val="333333"/>
          <w:sz w:val="32"/>
          <w:szCs w:val="32"/>
        </w:rPr>
        <w:t>其他支出（类）支出14.4万元，占100%。</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楷体" w:eastAsia="楷体" w:hAnsi="楷体" w:cs="Calibri" w:hint="eastAsia"/>
          <w:color w:val="333333"/>
          <w:sz w:val="32"/>
          <w:szCs w:val="32"/>
        </w:rPr>
        <w:t>（三）政府性基金预算财政拨款支出决算具体情况。</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333333"/>
          <w:sz w:val="32"/>
          <w:szCs w:val="32"/>
        </w:rPr>
        <w:t>1.其他支出（类）彩票公益金安排的支出（款）用于社会福利的彩票公益金支出（项）财政拨款支出14.4万元，主要用于</w:t>
      </w:r>
      <w:proofErr w:type="gramStart"/>
      <w:r>
        <w:rPr>
          <w:rFonts w:ascii="仿宋" w:eastAsia="仿宋" w:hAnsi="仿宋" w:cs="Calibri" w:hint="eastAsia"/>
          <w:color w:val="333333"/>
          <w:sz w:val="32"/>
          <w:szCs w:val="32"/>
        </w:rPr>
        <w:t>两癌贫困</w:t>
      </w:r>
      <w:proofErr w:type="gramEnd"/>
      <w:r>
        <w:rPr>
          <w:rFonts w:ascii="仿宋" w:eastAsia="仿宋" w:hAnsi="仿宋" w:cs="Calibri" w:hint="eastAsia"/>
          <w:color w:val="333333"/>
          <w:sz w:val="32"/>
          <w:szCs w:val="32"/>
        </w:rPr>
        <w:t>母亲救助资金。</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黑体" w:eastAsia="黑体" w:hAnsi="黑体" w:cs="Calibri" w:hint="eastAsia"/>
          <w:color w:val="333333"/>
          <w:sz w:val="32"/>
          <w:szCs w:val="32"/>
        </w:rPr>
        <w:t>八、关于单位2019年度一般公共预算财政拨款“三公”经费支出决算情况说明</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color w:val="333333"/>
          <w:sz w:val="32"/>
          <w:szCs w:val="32"/>
        </w:rPr>
        <w:t>单位本年度无“三公”经费支出。</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黑体" w:eastAsia="黑体" w:hAnsi="黑体" w:cs="Calibri" w:hint="eastAsia"/>
          <w:color w:val="333333"/>
          <w:sz w:val="32"/>
          <w:szCs w:val="32"/>
        </w:rPr>
        <w:t>九、关于</w:t>
      </w:r>
      <w:r>
        <w:rPr>
          <w:rFonts w:hint="eastAsia"/>
          <w:color w:val="333333"/>
          <w:sz w:val="32"/>
          <w:szCs w:val="32"/>
        </w:rPr>
        <w:t> </w:t>
      </w:r>
      <w:r>
        <w:rPr>
          <w:rFonts w:ascii="黑体" w:eastAsia="黑体" w:hAnsi="黑体" w:cs="Calibri" w:hint="eastAsia"/>
          <w:color w:val="333333"/>
          <w:sz w:val="32"/>
          <w:szCs w:val="32"/>
        </w:rPr>
        <w:t>2019年度预算绩效情况说明</w:t>
      </w:r>
    </w:p>
    <w:p w:rsidR="00365C9D" w:rsidRDefault="00365C9D" w:rsidP="00365C9D">
      <w:pPr>
        <w:pStyle w:val="a3"/>
        <w:shd w:val="clear" w:color="auto" w:fill="FFFFFF"/>
        <w:spacing w:before="0" w:beforeAutospacing="0" w:after="0" w:afterAutospacing="0" w:line="505" w:lineRule="atLeast"/>
        <w:ind w:firstLine="620"/>
        <w:rPr>
          <w:rFonts w:ascii="Calibri" w:hAnsi="Calibri" w:cs="Calibri"/>
          <w:color w:val="333333"/>
        </w:rPr>
      </w:pPr>
      <w:r>
        <w:rPr>
          <w:rFonts w:ascii="Calibri" w:hAnsi="Calibri" w:cs="Calibri"/>
          <w:color w:val="333333"/>
        </w:rPr>
        <w:t>（一）</w:t>
      </w:r>
      <w:r>
        <w:rPr>
          <w:rFonts w:ascii="仿宋" w:eastAsia="仿宋" w:hAnsi="仿宋" w:cs="Calibri" w:hint="eastAsia"/>
          <w:color w:val="000000"/>
          <w:sz w:val="31"/>
          <w:szCs w:val="31"/>
        </w:rPr>
        <w:t>绩效管理工作开展情况。</w:t>
      </w:r>
    </w:p>
    <w:p w:rsidR="00365C9D" w:rsidRDefault="00365C9D" w:rsidP="00365C9D">
      <w:pPr>
        <w:pStyle w:val="a3"/>
        <w:shd w:val="clear" w:color="auto" w:fill="FFFFFF"/>
        <w:spacing w:before="0" w:beforeAutospacing="0" w:after="0" w:afterAutospacing="0" w:line="505" w:lineRule="atLeast"/>
        <w:ind w:firstLine="620"/>
        <w:rPr>
          <w:rFonts w:ascii="Calibri" w:hAnsi="Calibri" w:cs="Calibri"/>
          <w:color w:val="333333"/>
        </w:rPr>
      </w:pPr>
      <w:r>
        <w:rPr>
          <w:rFonts w:ascii="仿宋" w:eastAsia="仿宋" w:hAnsi="仿宋" w:cs="Calibri" w:hint="eastAsia"/>
          <w:color w:val="333333"/>
          <w:sz w:val="31"/>
          <w:szCs w:val="31"/>
          <w:shd w:val="clear" w:color="auto" w:fill="FFFFFF"/>
        </w:rPr>
        <w:t>总的来说，本单位财务管理较为严格，建立了《机关财务管理制度》，并严格按照市财政局制定的公务接待、差旅费、培训费、会议费等相关管理办法，规范了公务支出管理。严格履行财务审批手续，做到了无计划安排不报账，无领导审批不</w:t>
      </w:r>
      <w:r>
        <w:rPr>
          <w:rFonts w:ascii="仿宋" w:eastAsia="仿宋" w:hAnsi="仿宋" w:cs="Calibri" w:hint="eastAsia"/>
          <w:color w:val="333333"/>
          <w:sz w:val="31"/>
          <w:szCs w:val="31"/>
          <w:shd w:val="clear" w:color="auto" w:fill="FFFFFF"/>
        </w:rPr>
        <w:lastRenderedPageBreak/>
        <w:t>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w:t>
      </w:r>
    </w:p>
    <w:p w:rsidR="00365C9D" w:rsidRDefault="00365C9D" w:rsidP="00365C9D">
      <w:pPr>
        <w:pStyle w:val="a3"/>
        <w:shd w:val="clear" w:color="auto" w:fill="FFFFFF"/>
        <w:spacing w:before="0" w:beforeAutospacing="0" w:after="0" w:afterAutospacing="0" w:line="505" w:lineRule="atLeast"/>
        <w:ind w:firstLine="620"/>
        <w:rPr>
          <w:rFonts w:ascii="Calibri" w:hAnsi="Calibri" w:cs="Calibri"/>
          <w:color w:val="333333"/>
        </w:rPr>
      </w:pPr>
      <w:r>
        <w:rPr>
          <w:rFonts w:ascii="仿宋" w:eastAsia="仿宋" w:hAnsi="仿宋" w:cs="Calibri" w:hint="eastAsia"/>
          <w:color w:val="333333"/>
          <w:sz w:val="31"/>
          <w:szCs w:val="31"/>
          <w:shd w:val="clear" w:color="auto" w:fill="FFFFFF"/>
        </w:rPr>
        <w:t>（二）</w:t>
      </w:r>
      <w:r>
        <w:rPr>
          <w:rFonts w:ascii="仿宋" w:eastAsia="仿宋" w:hAnsi="仿宋" w:cs="Calibri" w:hint="eastAsia"/>
          <w:color w:val="000000"/>
          <w:sz w:val="31"/>
          <w:szCs w:val="31"/>
        </w:rPr>
        <w:t>部门决算</w:t>
      </w:r>
      <w:proofErr w:type="gramStart"/>
      <w:r>
        <w:rPr>
          <w:rFonts w:ascii="仿宋" w:eastAsia="仿宋" w:hAnsi="仿宋" w:cs="Calibri" w:hint="eastAsia"/>
          <w:color w:val="000000"/>
          <w:sz w:val="31"/>
          <w:szCs w:val="31"/>
        </w:rPr>
        <w:t>中项目</w:t>
      </w:r>
      <w:proofErr w:type="gramEnd"/>
      <w:r>
        <w:rPr>
          <w:rFonts w:ascii="仿宋" w:eastAsia="仿宋" w:hAnsi="仿宋" w:cs="Calibri" w:hint="eastAsia"/>
          <w:color w:val="000000"/>
          <w:sz w:val="31"/>
          <w:szCs w:val="31"/>
        </w:rPr>
        <w:t>绩效自评结果。</w:t>
      </w:r>
    </w:p>
    <w:p w:rsidR="00365C9D" w:rsidRDefault="00365C9D" w:rsidP="00365C9D">
      <w:pPr>
        <w:pStyle w:val="a3"/>
        <w:shd w:val="clear" w:color="auto" w:fill="FFFFFF"/>
        <w:spacing w:before="0" w:beforeAutospacing="0" w:after="0" w:afterAutospacing="0" w:line="505" w:lineRule="atLeast"/>
        <w:ind w:firstLine="620"/>
        <w:rPr>
          <w:rFonts w:ascii="Calibri" w:hAnsi="Calibri" w:cs="Calibri"/>
          <w:color w:val="333333"/>
        </w:rPr>
      </w:pPr>
      <w:r>
        <w:rPr>
          <w:rFonts w:ascii="仿宋" w:eastAsia="仿宋" w:hAnsi="仿宋" w:cs="Calibri" w:hint="eastAsia"/>
          <w:color w:val="000000"/>
          <w:sz w:val="31"/>
          <w:szCs w:val="31"/>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三</w:t>
      </w:r>
      <w:proofErr w:type="gramStart"/>
      <w:r>
        <w:rPr>
          <w:rFonts w:ascii="仿宋" w:eastAsia="仿宋" w:hAnsi="仿宋" w:cs="Calibri" w:hint="eastAsia"/>
          <w:color w:val="000000"/>
          <w:sz w:val="31"/>
          <w:szCs w:val="31"/>
        </w:rPr>
        <w:t>公经费</w:t>
      </w:r>
      <w:proofErr w:type="gramEnd"/>
      <w:r>
        <w:rPr>
          <w:rFonts w:ascii="仿宋" w:eastAsia="仿宋" w:hAnsi="仿宋" w:cs="Calibri" w:hint="eastAsia"/>
          <w:color w:val="000000"/>
          <w:sz w:val="31"/>
          <w:szCs w:val="31"/>
        </w:rPr>
        <w:t>的使用严格控制在预算申报的范围内。</w:t>
      </w:r>
    </w:p>
    <w:p w:rsidR="00365C9D" w:rsidRDefault="00365C9D" w:rsidP="00365C9D">
      <w:pPr>
        <w:pStyle w:val="a3"/>
        <w:shd w:val="clear" w:color="auto" w:fill="FFFFFF"/>
        <w:spacing w:before="0" w:beforeAutospacing="0" w:after="0" w:afterAutospacing="0" w:line="505" w:lineRule="atLeast"/>
        <w:ind w:firstLine="620"/>
        <w:rPr>
          <w:rFonts w:ascii="Calibri" w:hAnsi="Calibri" w:cs="Calibri"/>
          <w:color w:val="333333"/>
        </w:rPr>
      </w:pPr>
      <w:r>
        <w:rPr>
          <w:rFonts w:ascii="仿宋" w:eastAsia="仿宋" w:hAnsi="仿宋" w:cs="Calibri" w:hint="eastAsia"/>
          <w:color w:val="000000"/>
          <w:sz w:val="31"/>
          <w:szCs w:val="31"/>
        </w:rPr>
        <w:t>（二）以部门为主体开展的重点绩效评价结果。</w:t>
      </w:r>
    </w:p>
    <w:p w:rsidR="00365C9D" w:rsidRDefault="00365C9D" w:rsidP="00365C9D">
      <w:pPr>
        <w:pStyle w:val="a3"/>
        <w:shd w:val="clear" w:color="auto" w:fill="FFFFFF"/>
        <w:spacing w:before="0" w:beforeAutospacing="0" w:after="0" w:afterAutospacing="0" w:line="560" w:lineRule="atLeast"/>
        <w:ind w:firstLine="640"/>
        <w:jc w:val="both"/>
        <w:rPr>
          <w:rFonts w:ascii="Calibri" w:hAnsi="Calibri" w:cs="Calibri"/>
          <w:color w:val="333333"/>
          <w:sz w:val="21"/>
          <w:szCs w:val="21"/>
        </w:rPr>
      </w:pPr>
      <w:r>
        <w:rPr>
          <w:rFonts w:ascii="仿宋" w:eastAsia="仿宋" w:hAnsi="仿宋" w:cs="Calibri" w:hint="eastAsia"/>
          <w:color w:val="000000"/>
          <w:sz w:val="32"/>
          <w:szCs w:val="32"/>
        </w:rPr>
        <w:t>2019年，本单位的所有专项资金项目都严格按照有关规定执行，都是按照法定程序要求先申报后开支。本单位按照年初计划，认真完成了各项专项工作任务，得到社会各界的一致肯定。</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黑体" w:eastAsia="黑体" w:hAnsi="黑体" w:cs="Calibri" w:hint="eastAsia"/>
          <w:color w:val="333333"/>
          <w:sz w:val="32"/>
          <w:szCs w:val="32"/>
        </w:rPr>
        <w:t>十、其他重要事项的情况说明</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000000"/>
          <w:sz w:val="31"/>
          <w:szCs w:val="31"/>
        </w:rPr>
        <w:t>（一）预决算收支增减变化情况。</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000000"/>
          <w:sz w:val="31"/>
          <w:szCs w:val="31"/>
        </w:rPr>
        <w:t>2019年年初预算收入90.74万元，本年度决算收入165.83万元，决算收入</w:t>
      </w:r>
      <w:proofErr w:type="gramStart"/>
      <w:r>
        <w:rPr>
          <w:rFonts w:ascii="仿宋" w:eastAsia="仿宋" w:hAnsi="仿宋" w:cs="Calibri" w:hint="eastAsia"/>
          <w:color w:val="000000"/>
          <w:sz w:val="31"/>
          <w:szCs w:val="31"/>
        </w:rPr>
        <w:t>较预算</w:t>
      </w:r>
      <w:proofErr w:type="gramEnd"/>
      <w:r>
        <w:rPr>
          <w:rFonts w:ascii="仿宋" w:eastAsia="仿宋" w:hAnsi="仿宋" w:cs="Calibri" w:hint="eastAsia"/>
          <w:color w:val="000000"/>
          <w:sz w:val="31"/>
          <w:szCs w:val="31"/>
        </w:rPr>
        <w:t>收入增加75.09万，增长45.28%，主要</w:t>
      </w:r>
      <w:r>
        <w:rPr>
          <w:rFonts w:ascii="仿宋" w:eastAsia="仿宋" w:hAnsi="仿宋" w:cs="Calibri" w:hint="eastAsia"/>
          <w:color w:val="000000"/>
          <w:sz w:val="31"/>
          <w:szCs w:val="31"/>
        </w:rPr>
        <w:lastRenderedPageBreak/>
        <w:t>原因是追加指标2018年绩效奖金、2019年公务交通用车补助等以及其他收入的增加；2019年年初预算支出90.74万元，本年度决算支出153.06万元，决算支出</w:t>
      </w:r>
      <w:proofErr w:type="gramStart"/>
      <w:r>
        <w:rPr>
          <w:rFonts w:ascii="仿宋" w:eastAsia="仿宋" w:hAnsi="仿宋" w:cs="Calibri" w:hint="eastAsia"/>
          <w:color w:val="000000"/>
          <w:sz w:val="31"/>
          <w:szCs w:val="31"/>
        </w:rPr>
        <w:t>较预算</w:t>
      </w:r>
      <w:proofErr w:type="gramEnd"/>
      <w:r>
        <w:rPr>
          <w:rFonts w:ascii="仿宋" w:eastAsia="仿宋" w:hAnsi="仿宋" w:cs="Calibri" w:hint="eastAsia"/>
          <w:color w:val="000000"/>
          <w:sz w:val="31"/>
          <w:szCs w:val="31"/>
        </w:rPr>
        <w:t>支出增加62.32万元，增长40.72%，主要原因</w:t>
      </w:r>
      <w:proofErr w:type="gramStart"/>
      <w:r>
        <w:rPr>
          <w:rFonts w:ascii="仿宋" w:eastAsia="仿宋" w:hAnsi="仿宋" w:cs="Calibri" w:hint="eastAsia"/>
          <w:color w:val="000000"/>
          <w:sz w:val="31"/>
          <w:szCs w:val="31"/>
        </w:rPr>
        <w:t>是两癌补助</w:t>
      </w:r>
      <w:proofErr w:type="gramEnd"/>
      <w:r>
        <w:rPr>
          <w:rFonts w:ascii="仿宋" w:eastAsia="仿宋" w:hAnsi="仿宋" w:cs="Calibri" w:hint="eastAsia"/>
          <w:color w:val="000000"/>
          <w:sz w:val="31"/>
          <w:szCs w:val="31"/>
        </w:rPr>
        <w:t>支出未纳入年初预算支出，导致决算支出增加。</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000000"/>
          <w:sz w:val="31"/>
          <w:szCs w:val="31"/>
        </w:rPr>
        <w:t>（二）机关运行经费支出情况。</w:t>
      </w:r>
    </w:p>
    <w:p w:rsidR="00365C9D" w:rsidRDefault="00365C9D" w:rsidP="00365C9D">
      <w:pPr>
        <w:pStyle w:val="a3"/>
        <w:shd w:val="clear" w:color="auto" w:fill="FFFFFF"/>
        <w:spacing w:before="0" w:beforeAutospacing="0" w:after="0" w:afterAutospacing="0" w:line="551" w:lineRule="atLeast"/>
        <w:ind w:firstLine="620"/>
        <w:jc w:val="both"/>
        <w:rPr>
          <w:rFonts w:ascii="Calibri" w:hAnsi="Calibri" w:cs="Calibri"/>
          <w:color w:val="333333"/>
          <w:sz w:val="21"/>
          <w:szCs w:val="21"/>
        </w:rPr>
      </w:pPr>
      <w:r>
        <w:rPr>
          <w:rFonts w:ascii="仿宋" w:eastAsia="仿宋" w:hAnsi="仿宋" w:cs="Calibri" w:hint="eastAsia"/>
          <w:color w:val="000000"/>
          <w:sz w:val="31"/>
          <w:szCs w:val="31"/>
        </w:rPr>
        <w:t>本部门2019年度机关运行经费支出4.5万元，较上年减少5.87万元，减少56.63%，主要原因是：单位严格压缩各项机关运行开支。</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000000"/>
          <w:sz w:val="31"/>
          <w:szCs w:val="31"/>
        </w:rPr>
        <w:t>（三）政府采购支出情况。</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000000"/>
          <w:sz w:val="31"/>
          <w:szCs w:val="31"/>
        </w:rPr>
        <w:t>本年度政府采购无实际采购额。</w:t>
      </w:r>
    </w:p>
    <w:p w:rsidR="00365C9D" w:rsidRDefault="00365C9D" w:rsidP="00365C9D">
      <w:pPr>
        <w:pStyle w:val="a3"/>
        <w:shd w:val="clear" w:color="auto" w:fill="FFFFFF"/>
        <w:spacing w:before="0" w:beforeAutospacing="0" w:after="0" w:afterAutospacing="0" w:line="505" w:lineRule="atLeast"/>
        <w:ind w:firstLine="620"/>
        <w:rPr>
          <w:rFonts w:ascii="Calibri" w:hAnsi="Calibri" w:cs="Calibri"/>
          <w:color w:val="333333"/>
        </w:rPr>
      </w:pPr>
      <w:r>
        <w:rPr>
          <w:rFonts w:ascii="仿宋" w:eastAsia="仿宋" w:hAnsi="仿宋" w:cs="Calibri" w:hint="eastAsia"/>
          <w:color w:val="000000"/>
          <w:sz w:val="31"/>
          <w:szCs w:val="31"/>
        </w:rPr>
        <w:t>（四）国有资产占有情况</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ascii="仿宋" w:eastAsia="仿宋" w:hAnsi="仿宋" w:cs="Calibri" w:hint="eastAsia"/>
          <w:color w:val="000000"/>
          <w:sz w:val="31"/>
          <w:szCs w:val="31"/>
        </w:rPr>
        <w:t>本单位年末无车辆。年末无单价50万元以上通用设备。年末无单价100万元以上通用设备。</w:t>
      </w:r>
    </w:p>
    <w:p w:rsidR="00365C9D" w:rsidRDefault="00365C9D" w:rsidP="00365C9D">
      <w:pPr>
        <w:pStyle w:val="a3"/>
        <w:shd w:val="clear" w:color="auto" w:fill="FFFFFF"/>
        <w:spacing w:before="0" w:beforeAutospacing="0" w:after="0" w:afterAutospacing="0" w:line="551" w:lineRule="atLeast"/>
        <w:ind w:firstLine="640"/>
        <w:rPr>
          <w:rFonts w:ascii="Calibri" w:hAnsi="Calibri" w:cs="Calibri"/>
          <w:color w:val="333333"/>
          <w:sz w:val="21"/>
          <w:szCs w:val="21"/>
        </w:rPr>
      </w:pPr>
      <w:r>
        <w:rPr>
          <w:rFonts w:hint="eastAsia"/>
          <w:color w:val="333333"/>
          <w:sz w:val="32"/>
          <w:szCs w:val="32"/>
        </w:rPr>
        <w:t> </w:t>
      </w:r>
    </w:p>
    <w:p w:rsidR="00365C9D" w:rsidRDefault="00365C9D" w:rsidP="00365C9D">
      <w:pPr>
        <w:pStyle w:val="a3"/>
        <w:shd w:val="clear" w:color="auto" w:fill="FFFFFF"/>
        <w:spacing w:before="0" w:beforeAutospacing="0" w:after="0" w:afterAutospacing="0" w:line="551" w:lineRule="atLeast"/>
        <w:ind w:firstLine="480"/>
        <w:jc w:val="center"/>
        <w:rPr>
          <w:rFonts w:ascii="Calibri" w:hAnsi="Calibri" w:cs="Calibri"/>
          <w:color w:val="333333"/>
          <w:sz w:val="21"/>
          <w:szCs w:val="21"/>
        </w:rPr>
      </w:pPr>
      <w:r>
        <w:rPr>
          <w:rFonts w:cs="Calibri" w:hint="eastAsia"/>
          <w:color w:val="333333"/>
          <w:sz w:val="44"/>
          <w:szCs w:val="44"/>
        </w:rPr>
        <w:t>第四部分</w:t>
      </w:r>
      <w:r>
        <w:rPr>
          <w:rFonts w:ascii="方正小标宋_GBK" w:eastAsia="方正小标宋_GBK" w:hAnsi="Calibri" w:cs="Calibri" w:hint="eastAsia"/>
          <w:color w:val="333333"/>
          <w:sz w:val="44"/>
          <w:szCs w:val="44"/>
        </w:rPr>
        <w:t> </w:t>
      </w:r>
      <w:r>
        <w:rPr>
          <w:rFonts w:cs="Calibri" w:hint="eastAsia"/>
          <w:color w:val="333333"/>
          <w:sz w:val="44"/>
          <w:szCs w:val="44"/>
        </w:rPr>
        <w:t>名词解释</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hint="eastAsia"/>
          <w:b/>
          <w:bCs/>
          <w:color w:val="333333"/>
          <w:sz w:val="32"/>
          <w:szCs w:val="32"/>
        </w:rPr>
        <w:t> </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一、财政拨款收入：</w:t>
      </w:r>
      <w:r>
        <w:rPr>
          <w:rFonts w:ascii="仿宋" w:eastAsia="仿宋" w:hAnsi="仿宋" w:cs="Calibri" w:hint="eastAsia"/>
          <w:color w:val="333333"/>
          <w:sz w:val="32"/>
          <w:szCs w:val="32"/>
        </w:rPr>
        <w:t>指中央财政当年拨付的资金。</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二、事业收入：</w:t>
      </w:r>
      <w:r>
        <w:rPr>
          <w:rFonts w:ascii="仿宋" w:eastAsia="仿宋" w:hAnsi="仿宋" w:cs="Calibri" w:hint="eastAsia"/>
          <w:color w:val="333333"/>
          <w:sz w:val="32"/>
          <w:szCs w:val="32"/>
        </w:rPr>
        <w:t>指事业单位开展专业业务活动及辅助活动所取得的收入。如：中国财政杂志社的刊物发行收入，中国注册会计师协会、中国资产评估协会、中国国债协会、中国会计学会收取的会费收入等。</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lastRenderedPageBreak/>
        <w:t>三、经营收入：</w:t>
      </w:r>
      <w:r>
        <w:rPr>
          <w:rFonts w:ascii="仿宋" w:eastAsia="仿宋" w:hAnsi="仿宋" w:cs="Calibri" w:hint="eastAsia"/>
          <w:color w:val="333333"/>
          <w:sz w:val="32"/>
          <w:szCs w:val="32"/>
        </w:rPr>
        <w:t>指事业单位在专业业务活动及其辅助活动之外开展非独立核算经营活动取得的收入。如：中国财政杂志社广告收入等。</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四、其他收入：</w:t>
      </w:r>
      <w:r>
        <w:rPr>
          <w:rFonts w:ascii="仿宋" w:eastAsia="仿宋" w:hAnsi="仿宋" w:cs="Calibri" w:hint="eastAsia"/>
          <w:color w:val="333333"/>
          <w:sz w:val="32"/>
          <w:szCs w:val="32"/>
        </w:rPr>
        <w:t>指除上述“财政拨款收入”</w:t>
      </w:r>
      <w:r>
        <w:rPr>
          <w:rFonts w:hint="eastAsia"/>
          <w:color w:val="333333"/>
          <w:sz w:val="32"/>
          <w:szCs w:val="32"/>
        </w:rPr>
        <w:t> </w:t>
      </w:r>
      <w:r>
        <w:rPr>
          <w:rFonts w:ascii="仿宋" w:eastAsia="仿宋" w:hAnsi="仿宋" w:cs="Calibri" w:hint="eastAsia"/>
          <w:color w:val="333333"/>
          <w:sz w:val="32"/>
          <w:szCs w:val="32"/>
        </w:rPr>
        <w:t>、</w:t>
      </w:r>
      <w:r>
        <w:rPr>
          <w:rFonts w:hint="eastAsia"/>
          <w:color w:val="333333"/>
          <w:sz w:val="32"/>
          <w:szCs w:val="32"/>
        </w:rPr>
        <w:t> </w:t>
      </w:r>
      <w:r>
        <w:rPr>
          <w:rFonts w:ascii="仿宋" w:eastAsia="仿宋" w:hAnsi="仿宋" w:cs="Calibri" w:hint="eastAsia"/>
          <w:color w:val="333333"/>
          <w:sz w:val="32"/>
          <w:szCs w:val="32"/>
        </w:rPr>
        <w:t>“事业收入”</w:t>
      </w:r>
      <w:r>
        <w:rPr>
          <w:rFonts w:hint="eastAsia"/>
          <w:color w:val="333333"/>
          <w:sz w:val="32"/>
          <w:szCs w:val="32"/>
        </w:rPr>
        <w:t> </w:t>
      </w:r>
      <w:r>
        <w:rPr>
          <w:rFonts w:ascii="仿宋" w:eastAsia="仿宋" w:hAnsi="仿宋" w:cs="Calibri" w:hint="eastAsia"/>
          <w:color w:val="333333"/>
          <w:sz w:val="32"/>
          <w:szCs w:val="32"/>
        </w:rPr>
        <w:t>、“经营收入”等以外的收入。主要是按规定动用的售房收入、存款利息收入等。</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五、用事业基金弥补收支差额：</w:t>
      </w:r>
      <w:r>
        <w:rPr>
          <w:rFonts w:ascii="仿宋" w:eastAsia="仿宋" w:hAnsi="仿宋" w:cs="Calibri" w:hint="eastAsia"/>
          <w:color w:val="333333"/>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六、年初结转和结余：</w:t>
      </w:r>
      <w:r>
        <w:rPr>
          <w:rFonts w:ascii="仿宋" w:eastAsia="仿宋" w:hAnsi="仿宋" w:cs="Calibri" w:hint="eastAsia"/>
          <w:color w:val="333333"/>
          <w:sz w:val="32"/>
          <w:szCs w:val="32"/>
        </w:rPr>
        <w:t>指以前年度尚未完成、结转到本年按有关规定继续使用的资金。</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七、结余分配：</w:t>
      </w:r>
      <w:r>
        <w:rPr>
          <w:rFonts w:ascii="仿宋" w:eastAsia="仿宋" w:hAnsi="仿宋" w:cs="Calibri" w:hint="eastAsia"/>
          <w:color w:val="333333"/>
          <w:sz w:val="32"/>
          <w:szCs w:val="32"/>
        </w:rPr>
        <w:t>指事业单位按规定提取的职工福利基金、事业基金和缴纳的所得税，以及建设单位按规定应交回的基本建设竣工项目结余资金。</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八、年末结转和结余：</w:t>
      </w:r>
      <w:r>
        <w:rPr>
          <w:rFonts w:ascii="仿宋" w:eastAsia="仿宋" w:hAnsi="仿宋" w:cs="Calibri" w:hint="eastAsia"/>
          <w:color w:val="333333"/>
          <w:sz w:val="32"/>
          <w:szCs w:val="32"/>
        </w:rPr>
        <w:t>指本年度或以前年度预算安排、因客观条件发生变化无法按原计划实施，需要延迟到以后年度按有关规定继续使用的资金。</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九、基本支出：</w:t>
      </w:r>
      <w:r>
        <w:rPr>
          <w:rFonts w:ascii="仿宋" w:eastAsia="仿宋" w:hAnsi="仿宋" w:cs="Calibri" w:hint="eastAsia"/>
          <w:color w:val="333333"/>
          <w:sz w:val="32"/>
          <w:szCs w:val="32"/>
        </w:rPr>
        <w:t>指为保障机构正常运转、完成日常工</w:t>
      </w:r>
    </w:p>
    <w:p w:rsidR="00365C9D" w:rsidRDefault="00365C9D" w:rsidP="00365C9D">
      <w:pPr>
        <w:pStyle w:val="a3"/>
        <w:shd w:val="clear" w:color="auto" w:fill="FFFFFF"/>
        <w:spacing w:before="0" w:beforeAutospacing="0" w:after="0" w:afterAutospacing="0" w:line="551" w:lineRule="atLeast"/>
        <w:ind w:firstLine="480"/>
        <w:rPr>
          <w:rFonts w:ascii="Calibri" w:hAnsi="Calibri" w:cs="Calibri"/>
          <w:color w:val="333333"/>
          <w:sz w:val="21"/>
          <w:szCs w:val="21"/>
        </w:rPr>
      </w:pPr>
      <w:r>
        <w:rPr>
          <w:rFonts w:ascii="仿宋" w:eastAsia="仿宋" w:hAnsi="仿宋" w:cs="Calibri" w:hint="eastAsia"/>
          <w:color w:val="333333"/>
          <w:sz w:val="32"/>
          <w:szCs w:val="32"/>
        </w:rPr>
        <w:t>作任务而发生的人员支出和公用支出。</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lastRenderedPageBreak/>
        <w:t>十、项目支出：</w:t>
      </w:r>
      <w:r>
        <w:rPr>
          <w:rFonts w:ascii="仿宋" w:eastAsia="仿宋" w:hAnsi="仿宋" w:cs="Calibri" w:hint="eastAsia"/>
          <w:color w:val="333333"/>
          <w:sz w:val="32"/>
          <w:szCs w:val="32"/>
        </w:rPr>
        <w:t>指在基本支出之外为完成特定行政任务和事业发展目标所发生的支出。</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十一、经营支出：</w:t>
      </w:r>
      <w:r>
        <w:rPr>
          <w:rFonts w:ascii="仿宋" w:eastAsia="仿宋" w:hAnsi="仿宋" w:cs="Calibri" w:hint="eastAsia"/>
          <w:color w:val="333333"/>
          <w:sz w:val="32"/>
          <w:szCs w:val="32"/>
        </w:rPr>
        <w:t>指事业单位在专业业务活动及其辅助活动之外开展非独立核算经营活动发生的支出。</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十二、“三公”经费：</w:t>
      </w:r>
      <w:r>
        <w:rPr>
          <w:rFonts w:ascii="仿宋" w:eastAsia="仿宋" w:hAnsi="仿宋" w:cs="Calibri" w:hint="eastAsia"/>
          <w:color w:val="333333"/>
          <w:sz w:val="32"/>
          <w:szCs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Calibri" w:hint="eastAsia"/>
          <w:color w:val="333333"/>
          <w:sz w:val="32"/>
          <w:szCs w:val="32"/>
        </w:rPr>
        <w:t>费反映</w:t>
      </w:r>
      <w:proofErr w:type="gramEnd"/>
      <w:r>
        <w:rPr>
          <w:rFonts w:ascii="仿宋" w:eastAsia="仿宋" w:hAnsi="仿宋" w:cs="Calibri" w:hint="eastAsia"/>
          <w:color w:val="333333"/>
          <w:sz w:val="32"/>
          <w:szCs w:val="32"/>
        </w:rPr>
        <w:t>单位公务出国（境）的国际旅费、国外城市间交通费、住宿费、伙食费、培训费、公杂费等支出；公务用车购置及运行</w:t>
      </w:r>
      <w:proofErr w:type="gramStart"/>
      <w:r>
        <w:rPr>
          <w:rFonts w:ascii="仿宋" w:eastAsia="仿宋" w:hAnsi="仿宋" w:cs="Calibri" w:hint="eastAsia"/>
          <w:color w:val="333333"/>
          <w:sz w:val="32"/>
          <w:szCs w:val="32"/>
        </w:rPr>
        <w:t>费反映</w:t>
      </w:r>
      <w:proofErr w:type="gramEnd"/>
      <w:r>
        <w:rPr>
          <w:rFonts w:ascii="仿宋" w:eastAsia="仿宋" w:hAnsi="仿宋" w:cs="Calibri" w:hint="eastAsia"/>
          <w:color w:val="333333"/>
          <w:sz w:val="32"/>
          <w:szCs w:val="32"/>
        </w:rPr>
        <w:t>单位公务用车车辆购置支出（</w:t>
      </w:r>
      <w:proofErr w:type="gramStart"/>
      <w:r>
        <w:rPr>
          <w:rFonts w:ascii="仿宋" w:eastAsia="仿宋" w:hAnsi="仿宋" w:cs="Calibri" w:hint="eastAsia"/>
          <w:color w:val="333333"/>
          <w:sz w:val="32"/>
          <w:szCs w:val="32"/>
        </w:rPr>
        <w:t>含车辆</w:t>
      </w:r>
      <w:proofErr w:type="gramEnd"/>
      <w:r>
        <w:rPr>
          <w:rFonts w:ascii="仿宋" w:eastAsia="仿宋" w:hAnsi="仿宋" w:cs="Calibri" w:hint="eastAsia"/>
          <w:color w:val="333333"/>
          <w:sz w:val="32"/>
          <w:szCs w:val="32"/>
        </w:rPr>
        <w:t>购置税）及租用费、燃料费、维修费、过路过桥费、保险费、安全奖励费用等支出；公务接待</w:t>
      </w:r>
      <w:proofErr w:type="gramStart"/>
      <w:r>
        <w:rPr>
          <w:rFonts w:ascii="仿宋" w:eastAsia="仿宋" w:hAnsi="仿宋" w:cs="Calibri" w:hint="eastAsia"/>
          <w:color w:val="333333"/>
          <w:sz w:val="32"/>
          <w:szCs w:val="32"/>
        </w:rPr>
        <w:t>费反映</w:t>
      </w:r>
      <w:proofErr w:type="gramEnd"/>
      <w:r>
        <w:rPr>
          <w:rFonts w:ascii="仿宋" w:eastAsia="仿宋" w:hAnsi="仿宋" w:cs="Calibri" w:hint="eastAsia"/>
          <w:color w:val="333333"/>
          <w:sz w:val="32"/>
          <w:szCs w:val="32"/>
        </w:rPr>
        <w:t>单位按规定开支的各类公务接待（含外宾接待）支出。</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ascii="仿宋" w:eastAsia="仿宋" w:hAnsi="仿宋" w:cs="Calibri" w:hint="eastAsia"/>
          <w:b/>
          <w:bCs/>
          <w:color w:val="333333"/>
          <w:sz w:val="32"/>
          <w:szCs w:val="32"/>
        </w:rPr>
        <w:t>十三、机关运行经费：</w:t>
      </w:r>
      <w:r>
        <w:rPr>
          <w:rFonts w:ascii="仿宋" w:eastAsia="仿宋" w:hAnsi="仿宋" w:cs="Calibri" w:hint="eastAsia"/>
          <w:color w:val="333333"/>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hint="eastAsia"/>
          <w:color w:val="333333"/>
          <w:sz w:val="32"/>
          <w:szCs w:val="32"/>
        </w:rPr>
        <w:t> </w:t>
      </w:r>
      <w:r>
        <w:rPr>
          <w:rFonts w:ascii="仿宋" w:eastAsia="仿宋" w:hAnsi="仿宋" w:cs="Calibri" w:hint="eastAsia"/>
          <w:color w:val="333333"/>
          <w:sz w:val="32"/>
          <w:szCs w:val="32"/>
        </w:rPr>
        <w:t>附件下载：</w:t>
      </w:r>
      <w:r>
        <w:rPr>
          <w:rFonts w:ascii="仿宋" w:eastAsia="仿宋" w:hAnsi="仿宋" w:cs="Calibri"/>
          <w:noProof/>
          <w:color w:val="333333"/>
          <w:sz w:val="32"/>
          <w:szCs w:val="32"/>
        </w:rPr>
        <w:drawing>
          <wp:inline distT="0" distB="0" distL="0" distR="0">
            <wp:extent cx="155575" cy="155575"/>
            <wp:effectExtent l="19050" t="0" r="0" b="0"/>
            <wp:docPr id="1" name="图片 1" descr="http://www.yuanjiang.gov.cn/creatorCMS/eWebEditor/sysimage/icon16/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uanjiang.gov.cn/creatorCMS/eWebEditor/sysimage/icon16/xls.gif"/>
                    <pic:cNvPicPr>
                      <a:picLocks noChangeAspect="1" noChangeArrowheads="1"/>
                    </pic:cNvPicPr>
                  </pic:nvPicPr>
                  <pic:blipFill>
                    <a:blip r:embed="rId4"/>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5" w:tgtFrame="_blank" w:history="1">
        <w:r>
          <w:rPr>
            <w:rStyle w:val="a4"/>
            <w:rFonts w:ascii="仿宋" w:eastAsia="仿宋" w:hAnsi="仿宋" w:cs="Calibri" w:hint="eastAsia"/>
            <w:color w:val="333333"/>
            <w:sz w:val="32"/>
            <w:szCs w:val="32"/>
            <w:u w:val="none"/>
          </w:rPr>
          <w:t>妇联2019年度部门决算公开表.</w:t>
        </w:r>
        <w:proofErr w:type="gramStart"/>
        <w:r>
          <w:rPr>
            <w:rStyle w:val="a4"/>
            <w:rFonts w:ascii="仿宋" w:eastAsia="仿宋" w:hAnsi="仿宋" w:cs="Calibri" w:hint="eastAsia"/>
            <w:color w:val="333333"/>
            <w:sz w:val="32"/>
            <w:szCs w:val="32"/>
            <w:u w:val="none"/>
          </w:rPr>
          <w:t>xls</w:t>
        </w:r>
        <w:proofErr w:type="gramEnd"/>
      </w:hyperlink>
    </w:p>
    <w:p w:rsidR="00365C9D" w:rsidRDefault="00365C9D" w:rsidP="00365C9D">
      <w:pPr>
        <w:pStyle w:val="a3"/>
        <w:shd w:val="clear" w:color="auto" w:fill="FFFFFF"/>
        <w:spacing w:before="0" w:beforeAutospacing="0" w:after="0" w:afterAutospacing="0" w:line="551" w:lineRule="atLeast"/>
        <w:ind w:firstLine="643"/>
        <w:rPr>
          <w:rFonts w:ascii="Calibri" w:hAnsi="Calibri" w:cs="Calibri"/>
          <w:color w:val="333333"/>
          <w:sz w:val="21"/>
          <w:szCs w:val="21"/>
        </w:rPr>
      </w:pPr>
      <w:r>
        <w:rPr>
          <w:rFonts w:hint="eastAsia"/>
          <w:b/>
          <w:bCs/>
          <w:color w:val="FF0000"/>
          <w:sz w:val="32"/>
          <w:szCs w:val="32"/>
        </w:rPr>
        <w:t> </w:t>
      </w:r>
    </w:p>
    <w:p w:rsidR="00365C9D" w:rsidRPr="00365C9D" w:rsidRDefault="00365C9D"/>
    <w:sectPr w:rsidR="00365C9D" w:rsidRPr="00365C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5C9D"/>
    <w:rsid w:val="00365C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5C9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65C9D"/>
    <w:rPr>
      <w:color w:val="0000FF"/>
      <w:u w:val="single"/>
    </w:rPr>
  </w:style>
  <w:style w:type="paragraph" w:styleId="a5">
    <w:name w:val="Balloon Text"/>
    <w:basedOn w:val="a"/>
    <w:link w:val="Char"/>
    <w:uiPriority w:val="99"/>
    <w:semiHidden/>
    <w:unhideWhenUsed/>
    <w:rsid w:val="00365C9D"/>
    <w:rPr>
      <w:sz w:val="18"/>
      <w:szCs w:val="18"/>
    </w:rPr>
  </w:style>
  <w:style w:type="character" w:customStyle="1" w:styleId="Char">
    <w:name w:val="批注框文本 Char"/>
    <w:basedOn w:val="a0"/>
    <w:link w:val="a5"/>
    <w:uiPriority w:val="99"/>
    <w:semiHidden/>
    <w:rsid w:val="00365C9D"/>
    <w:rPr>
      <w:sz w:val="18"/>
      <w:szCs w:val="18"/>
    </w:rPr>
  </w:style>
</w:styles>
</file>

<file path=word/webSettings.xml><?xml version="1.0" encoding="utf-8"?>
<w:webSettings xmlns:r="http://schemas.openxmlformats.org/officeDocument/2006/relationships" xmlns:w="http://schemas.openxmlformats.org/wordprocessingml/2006/main">
  <w:divs>
    <w:div w:id="21461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uanjiang.gov.cn/uploadfiles/202009/20200928091932889.xls"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dc:creator>
  <cp:keywords/>
  <dc:description/>
  <cp:lastModifiedBy>YM</cp:lastModifiedBy>
  <cp:revision>2</cp:revision>
  <dcterms:created xsi:type="dcterms:W3CDTF">2020-10-12T15:25:00Z</dcterms:created>
  <dcterms:modified xsi:type="dcterms:W3CDTF">2020-10-12T15:26:00Z</dcterms:modified>
</cp:coreProperties>
</file>