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44"/>
          <w:szCs w:val="44"/>
          <w:lang w:val="en-US" w:eastAsia="zh-CN" w:bidi="ar-SA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年（</w:t>
      </w:r>
      <w:r>
        <w:rPr>
          <w:rFonts w:hint="eastAsia" w:ascii="仿宋_GB2312" w:eastAsia="仿宋_GB2312"/>
          <w:sz w:val="32"/>
          <w:szCs w:val="32"/>
          <w:lang w:eastAsia="zh-CN"/>
        </w:rPr>
        <w:t>沅江市扶贫开发办公室</w:t>
      </w:r>
      <w:r>
        <w:rPr>
          <w:rFonts w:hint="eastAsia" w:ascii="仿宋_GB2312" w:eastAsia="仿宋_GB2312"/>
          <w:sz w:val="32"/>
          <w:szCs w:val="32"/>
        </w:rPr>
        <w:t>）部门</w:t>
      </w:r>
      <w:r>
        <w:rPr>
          <w:rFonts w:hint="eastAsia" w:ascii="仿宋_GB2312" w:eastAsia="仿宋_GB2312"/>
          <w:sz w:val="32"/>
          <w:szCs w:val="32"/>
          <w:lang w:eastAsia="zh-CN"/>
        </w:rPr>
        <w:t>预</w:t>
      </w:r>
      <w:r>
        <w:rPr>
          <w:rFonts w:hint="eastAsia" w:ascii="仿宋_GB2312" w:eastAsia="仿宋_GB2312"/>
          <w:sz w:val="32"/>
          <w:szCs w:val="32"/>
        </w:rPr>
        <w:t>算公开说明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部门收支总体情况表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部门收入总体情况表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部门支出总体情况表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部门支出总表（按部门预算经济分类）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部门支出总表（按政府预算经济分类）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基本支出预算明细表-工资福利支出（按部门预算经济分类）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基本支出预算明细表-工资福利支出（按政府预算经济分类）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基本支出预算明细表-商品和服务支出（按部门预算经济分类）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基本支出预算明细表-商品和服务支出（按政府预算经济分类）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基本支出预算明细表-对个人和家庭的补助（按部门预算经济分类）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基本支出预算明细表-对个人和家庭的补助（按政府预算经济分类）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财政拨款收支总体情况表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一般公共预算支出情况表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一般公共预算支出情况表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一般公共预算基本支出预算明细表-工资福利支出（按部门预算经济分类）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一般公共预算基本支出预算明细表-工资福利支出（按政府预算经济分类）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一般公共预算基本支出预算明细表-商品和服务支出（按部门预算经济分类）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一般公共预算基本支出预算明细表-商品和服务支出（按政府预算经济分类）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一般公共预算基本支出预算明细表-对个人和家庭的补助（按部门预算经济分类）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基本支出预算明细表-对个人和家庭的补助（按政府预算经济分类）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政府性基金拨款预算支出情况表（按部门预算经济分类）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政府性基金拨款预算支出情况表（按政府预算经济分类）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纳入专户管理的非税收入拨款预算支出情况表（按部门预算经济分类）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纳入专户管理的非税收入拨款预算支出情况表（按政府预算经济分类）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经费拨款预算支出情况表（按部门预算经济分类）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经费拨款预算支出情况表（按政府预算经济分类）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专项资金预算汇总表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一般公共预算“三公”经费预算表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单位项目支出预算绩效目标申报表表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部门整体支出预算绩效目标申报表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3780909"/>
    <w:rsid w:val="52355236"/>
    <w:rsid w:val="640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空空1423066278</cp:lastModifiedBy>
  <dcterms:modified xsi:type="dcterms:W3CDTF">2020-02-27T00:38:37Z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