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“沅江市营商环境大优化”政务效能重点任务细化清单</w:t>
      </w:r>
    </w:p>
    <w:tbl>
      <w:tblPr>
        <w:tblStyle w:val="14"/>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675"/>
        <w:gridCol w:w="5408"/>
        <w:gridCol w:w="1579"/>
        <w:gridCol w:w="1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blHeader/>
          <w:jc w:val="center"/>
        </w:trPr>
        <w:tc>
          <w:tcPr>
            <w:tcW w:w="510" w:type="dxa"/>
            <w:tcMar>
              <w:top w:w="15" w:type="dxa"/>
              <w:left w:w="15" w:type="dxa"/>
              <w:right w:w="15" w:type="dxa"/>
            </w:tcMar>
            <w:vAlign w:val="center"/>
          </w:tcPr>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序号</w:t>
            </w:r>
          </w:p>
        </w:tc>
        <w:tc>
          <w:tcPr>
            <w:tcW w:w="675" w:type="dxa"/>
            <w:tcMar>
              <w:top w:w="15" w:type="dxa"/>
              <w:left w:w="15" w:type="dxa"/>
              <w:right w:w="15" w:type="dxa"/>
            </w:tcMar>
            <w:vAlign w:val="center"/>
          </w:tcPr>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重点</w:t>
            </w:r>
          </w:p>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任务</w:t>
            </w:r>
          </w:p>
        </w:tc>
        <w:tc>
          <w:tcPr>
            <w:tcW w:w="5408" w:type="dxa"/>
            <w:tcMar>
              <w:top w:w="15" w:type="dxa"/>
              <w:left w:w="15" w:type="dxa"/>
              <w:right w:w="15" w:type="dxa"/>
            </w:tcMar>
            <w:vAlign w:val="center"/>
          </w:tcPr>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工作内容</w:t>
            </w:r>
          </w:p>
        </w:tc>
        <w:tc>
          <w:tcPr>
            <w:tcW w:w="1579" w:type="dxa"/>
            <w:tcMar>
              <w:top w:w="15" w:type="dxa"/>
              <w:left w:w="15" w:type="dxa"/>
              <w:right w:w="15" w:type="dxa"/>
            </w:tcMar>
            <w:vAlign w:val="center"/>
          </w:tcPr>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责任股室</w:t>
            </w:r>
          </w:p>
        </w:tc>
        <w:tc>
          <w:tcPr>
            <w:tcW w:w="1457" w:type="dxa"/>
            <w:noWrap/>
            <w:tcMar>
              <w:top w:w="15" w:type="dxa"/>
              <w:left w:w="15" w:type="dxa"/>
              <w:right w:w="15" w:type="dxa"/>
            </w:tcMar>
            <w:vAlign w:val="center"/>
          </w:tcPr>
          <w:p>
            <w:pPr>
              <w:spacing w:line="260" w:lineRule="exact"/>
              <w:jc w:val="center"/>
              <w:textAlignment w:val="center"/>
              <w:rPr>
                <w:rFonts w:hint="eastAsia" w:ascii="仿宋" w:hAnsi="仿宋" w:eastAsia="仿宋" w:cs="仿宋"/>
                <w:bCs/>
                <w:color w:val="000000" w:themeColor="text1"/>
                <w:kern w:val="0"/>
                <w:sz w:val="24"/>
                <w:szCs w:val="24"/>
              </w:rPr>
            </w:pPr>
            <w:r>
              <w:rPr>
                <w:rFonts w:hint="eastAsia" w:ascii="仿宋" w:hAnsi="仿宋" w:eastAsia="仿宋" w:cs="仿宋"/>
                <w:bCs/>
                <w:color w:val="000000" w:themeColor="text1"/>
                <w:kern w:val="0"/>
                <w:sz w:val="24"/>
                <w:szCs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jc w:val="center"/>
        </w:trPr>
        <w:tc>
          <w:tcPr>
            <w:tcW w:w="510" w:type="dxa"/>
            <w:vMerge w:val="restart"/>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w:t>
            </w:r>
          </w:p>
        </w:tc>
        <w:tc>
          <w:tcPr>
            <w:tcW w:w="675" w:type="dxa"/>
            <w:vMerge w:val="restart"/>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纵深推进简政放权</w:t>
            </w: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积极承接国务院、省下放政务服务事项，重点围绕“一件事一次办”推进全链条放权。</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行政审批改革股</w:t>
            </w:r>
          </w:p>
        </w:tc>
        <w:tc>
          <w:tcPr>
            <w:tcW w:w="1457"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3月启动并按省市规定持续推进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按照国务院、省、益阳市要求，落实向园区、镇、场、街道持续赋权的各项工作。</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行政审批改革股</w:t>
            </w:r>
          </w:p>
        </w:tc>
        <w:tc>
          <w:tcPr>
            <w:tcW w:w="1457"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8月底并   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Style w:val="24"/>
                <w:rFonts w:hint="eastAsia" w:ascii="仿宋" w:hAnsi="仿宋" w:eastAsia="仿宋" w:cs="仿宋"/>
                <w:color w:val="000000" w:themeColor="text1"/>
                <w:kern w:val="0"/>
                <w:sz w:val="24"/>
                <w:szCs w:val="24"/>
              </w:rPr>
              <w:t>完善和落实政府权责清单制度，</w:t>
            </w:r>
            <w:r>
              <w:rPr>
                <w:rStyle w:val="25"/>
                <w:rFonts w:hint="eastAsia" w:ascii="仿宋" w:hAnsi="仿宋" w:eastAsia="仿宋" w:cs="仿宋"/>
                <w:color w:val="000000" w:themeColor="text1"/>
                <w:kern w:val="0"/>
                <w:sz w:val="24"/>
                <w:szCs w:val="24"/>
              </w:rPr>
              <w:t>按要求建立健全并动态调整县、乡两级权责清单，梳理发布全市公共服务事项目录和政务服务事项目录，加快推进村（社区）可办事项指导性目录的编制。</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行政审批改革股</w:t>
            </w:r>
          </w:p>
        </w:tc>
        <w:tc>
          <w:tcPr>
            <w:tcW w:w="1457"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12月底并持续动态调整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jc w:val="center"/>
        </w:trPr>
        <w:tc>
          <w:tcPr>
            <w:tcW w:w="510" w:type="dxa"/>
            <w:vMerge w:val="restart"/>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2</w:t>
            </w:r>
          </w:p>
        </w:tc>
        <w:tc>
          <w:tcPr>
            <w:tcW w:w="675" w:type="dxa"/>
            <w:vMerge w:val="restart"/>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持续深化“一件事一次办”</w:t>
            </w: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推进跨域通办，巩固并扩大“全市通办”成果，对两批200件“一件事”逐步推行跨域办理、异地可办、全市通办，全力推进政务服务平台村级全覆盖。推进“一件事一次办”跨域通办往纵深发展且纵向到底，着力打通服务基层群众的最后一米，逐步实现“老百姓办事不出村（社区）”。</w:t>
            </w:r>
          </w:p>
        </w:tc>
        <w:tc>
          <w:tcPr>
            <w:tcW w:w="1579"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rPr>
              <w:t>政务服务管理股、行政审批改革股、政务信息中心</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9月底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6"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升级智能导办。梳理已公布事项证件种类、场所性质、场地面积、区域环评、投资金额等情形和审批要求，形成更智能式的菜单，实现自助在线框选和智能匹配；迭代升级政务服务平台智能导办功能，开发导办地图，在平台上增设网办指南。</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政务服务管理股</w:t>
            </w:r>
            <w:r>
              <w:rPr>
                <w:rFonts w:hint="eastAsia" w:ascii="仿宋" w:hAnsi="仿宋" w:eastAsia="仿宋" w:cs="仿宋"/>
                <w:color w:val="000000" w:themeColor="text1"/>
                <w:kern w:val="0"/>
                <w:sz w:val="24"/>
                <w:szCs w:val="24"/>
              </w:rPr>
              <w:t>、电子政务与数据资源管理股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6月</w:t>
            </w:r>
            <w:r>
              <w:rPr>
                <w:rFonts w:hint="eastAsia" w:ascii="仿宋" w:hAnsi="仿宋" w:eastAsia="仿宋" w:cs="仿宋"/>
                <w:color w:val="000000" w:themeColor="text1"/>
                <w:kern w:val="0"/>
                <w:sz w:val="24"/>
                <w:szCs w:val="24"/>
                <w:lang w:val="en-US" w:eastAsia="zh-CN"/>
              </w:rPr>
              <w:t>底</w:t>
            </w:r>
            <w:r>
              <w:rPr>
                <w:rFonts w:hint="eastAsia" w:ascii="仿宋" w:hAnsi="仿宋" w:eastAsia="仿宋" w:cs="仿宋"/>
                <w:color w:val="000000" w:themeColor="text1"/>
                <w:kern w:val="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深化固化制度成果。按照“一次告知、一次表单、一次联办、一次送达”要求，开展全流程办理环节标准化规范化建设，建立健全“一件事一次办”专窗管理运行规范；进一步建立健全“一件事一次办”改革相关制度。</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政务服务中心、政务服务管理股、行政审批改革股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3月初见成效并</w:t>
            </w:r>
            <w:r>
              <w:rPr>
                <w:rFonts w:hint="eastAsia" w:ascii="仿宋" w:hAnsi="仿宋" w:eastAsia="仿宋" w:cs="仿宋"/>
                <w:color w:val="000000" w:themeColor="text1"/>
                <w:kern w:val="0"/>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1"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落实落细“256”限时办结措施。大力推行告知承诺制和限时办结制，确保将企业设立登记、公章刻制、申领发票三个环节压缩至2个工作日以内；不动产一般登记、抵押登记办理时间全部压缩至5个工作日内；六类工程建设项目控制在省定要求之内：政府投资建设项目（城市基础设施—线性工程类）78个工作日、政府投资建设项目（房屋建筑及城市基础设施非线性工程类）82个工作日、社会投资建设项目（以出让方式取得土地的房屋建筑和城市基础设施工程类、工业投资项目除外）64个工作日、工业投资和中小型社会投资建设项目（以出让方式取得土地的房屋建筑类）52个工作日、实行区域评估的带方案出让土地的社会投资房屋建筑项目40个工作日、其它类房屋建筑和城市基础设施工程项目100个工作日以内。</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3月初见成效并</w:t>
            </w:r>
            <w:r>
              <w:rPr>
                <w:rFonts w:hint="eastAsia" w:ascii="仿宋" w:hAnsi="仿宋" w:eastAsia="仿宋" w:cs="仿宋"/>
                <w:color w:val="000000" w:themeColor="text1"/>
                <w:kern w:val="0"/>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jc w:val="center"/>
        </w:trPr>
        <w:tc>
          <w:tcPr>
            <w:tcW w:w="510" w:type="dxa"/>
            <w:vMerge w:val="restart"/>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3</w:t>
            </w:r>
          </w:p>
        </w:tc>
        <w:tc>
          <w:tcPr>
            <w:tcW w:w="675" w:type="dxa"/>
            <w:vMerge w:val="restart"/>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p>
          <w:p>
            <w:pPr>
              <w:spacing w:line="260" w:lineRule="exact"/>
              <w:jc w:val="center"/>
              <w:textAlignment w:val="center"/>
              <w:rPr>
                <w:rFonts w:hint="eastAsia" w:ascii="仿宋" w:hAnsi="仿宋" w:eastAsia="仿宋" w:cs="仿宋"/>
                <w:color w:val="000000" w:themeColor="text1"/>
                <w:kern w:val="0"/>
                <w:sz w:val="24"/>
                <w:szCs w:val="24"/>
              </w:rPr>
            </w:pPr>
          </w:p>
          <w:p>
            <w:pPr>
              <w:spacing w:line="260" w:lineRule="exact"/>
              <w:jc w:val="center"/>
              <w:textAlignment w:val="center"/>
              <w:rPr>
                <w:rFonts w:hint="eastAsia" w:ascii="仿宋" w:hAnsi="仿宋" w:eastAsia="仿宋" w:cs="仿宋"/>
                <w:color w:val="000000" w:themeColor="text1"/>
                <w:kern w:val="0"/>
                <w:sz w:val="24"/>
                <w:szCs w:val="24"/>
              </w:rPr>
            </w:pPr>
          </w:p>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不断完善政务服务线下平台</w:t>
            </w:r>
            <w:r>
              <w:rPr>
                <w:rFonts w:hint="eastAsia" w:ascii="仿宋" w:hAnsi="仿宋" w:eastAsia="仿宋" w:cs="仿宋"/>
                <w:color w:val="000000" w:themeColor="text1"/>
                <w:kern w:val="0"/>
                <w:sz w:val="24"/>
                <w:szCs w:val="24"/>
                <w:lang w:val="en-US" w:eastAsia="zh-CN"/>
              </w:rPr>
              <w:t>体</w:t>
            </w:r>
            <w:r>
              <w:rPr>
                <w:rFonts w:hint="eastAsia" w:ascii="仿宋" w:hAnsi="仿宋" w:eastAsia="仿宋" w:cs="仿宋"/>
                <w:color w:val="000000" w:themeColor="text1"/>
                <w:kern w:val="0"/>
                <w:sz w:val="24"/>
                <w:szCs w:val="24"/>
              </w:rPr>
              <w:t>系。</w:t>
            </w:r>
          </w:p>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持续推动“三集中三到位”。</w:t>
            </w:r>
          </w:p>
        </w:tc>
        <w:tc>
          <w:tcPr>
            <w:tcW w:w="5408" w:type="dxa"/>
            <w:tcBorders>
              <w:bottom w:val="single" w:color="auto" w:sz="4" w:space="0"/>
            </w:tcBorders>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深化“三集中三到位”改革。确保部门审批服务工作向一个股室集中，审批服务股室向政务服务大厅集中，审批服务事项向政务服务大厅和电子政务平台集中；审批服务事项和人员入驻政务服务大厅到位，部门对窗口授权到位，审批服务电子监察到位。</w:t>
            </w:r>
          </w:p>
        </w:tc>
        <w:tc>
          <w:tcPr>
            <w:tcW w:w="1579" w:type="dxa"/>
            <w:tcBorders>
              <w:bottom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行政审批改革股、政务服务管理股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Borders>
              <w:bottom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6月底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4" w:hRule="atLeast"/>
          <w:jc w:val="center"/>
        </w:trPr>
        <w:tc>
          <w:tcPr>
            <w:tcW w:w="510" w:type="dxa"/>
            <w:vMerge w:val="continue"/>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p>
        </w:tc>
        <w:tc>
          <w:tcPr>
            <w:tcW w:w="5408" w:type="dxa"/>
            <w:tcBorders>
              <w:top w:val="single" w:color="auto" w:sz="4" w:space="0"/>
              <w:bottom w:val="single" w:color="auto" w:sz="4" w:space="0"/>
            </w:tcBorders>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继续推行“前台综合受理、后台分类审批、统一窗口出件”，进一步完善前台后台有机衔接、受理办理无缝对接、业务运行集约高效、评价监督有力有效的运行机制，切实发挥好政务服务大厅“一站式”功能。</w:t>
            </w:r>
            <w:r>
              <w:rPr>
                <w:rStyle w:val="26"/>
                <w:rFonts w:hint="eastAsia" w:ascii="仿宋" w:hAnsi="仿宋" w:eastAsia="仿宋" w:cs="仿宋"/>
                <w:color w:val="000000" w:themeColor="text1"/>
                <w:kern w:val="0"/>
                <w:sz w:val="24"/>
                <w:szCs w:val="24"/>
              </w:rPr>
              <w:t>积极完善</w:t>
            </w:r>
            <w:r>
              <w:rPr>
                <w:rStyle w:val="27"/>
                <w:rFonts w:hint="eastAsia" w:ascii="仿宋" w:hAnsi="仿宋" w:eastAsia="仿宋" w:cs="仿宋"/>
                <w:color w:val="000000" w:themeColor="text1"/>
                <w:kern w:val="0"/>
                <w:sz w:val="24"/>
                <w:szCs w:val="24"/>
              </w:rPr>
              <w:t>预约错时办、特事秒批办、容缺承诺办、专人辅导办、主动帮代办等服务方式，</w:t>
            </w:r>
            <w:r>
              <w:rPr>
                <w:rFonts w:hint="eastAsia" w:ascii="仿宋" w:hAnsi="仿宋" w:eastAsia="仿宋" w:cs="仿宋"/>
                <w:color w:val="000000" w:themeColor="text1"/>
                <w:kern w:val="0"/>
                <w:sz w:val="24"/>
                <w:szCs w:val="24"/>
              </w:rPr>
              <w:t>完善服务方式。</w:t>
            </w:r>
          </w:p>
        </w:tc>
        <w:tc>
          <w:tcPr>
            <w:tcW w:w="1579" w:type="dxa"/>
            <w:tcBorders>
              <w:top w:val="single" w:color="auto" w:sz="4" w:space="0"/>
              <w:bottom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政务服务中心、政务服务管理股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Borders>
              <w:top w:val="single" w:color="auto" w:sz="4" w:space="0"/>
              <w:bottom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4月初见成效并</w:t>
            </w:r>
            <w:r>
              <w:rPr>
                <w:rFonts w:hint="eastAsia" w:ascii="仿宋" w:hAnsi="仿宋" w:eastAsia="仿宋" w:cs="仿宋"/>
                <w:color w:val="000000" w:themeColor="text1"/>
                <w:kern w:val="0"/>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3" w:hRule="atLeast"/>
          <w:jc w:val="center"/>
        </w:trPr>
        <w:tc>
          <w:tcPr>
            <w:tcW w:w="510" w:type="dxa"/>
            <w:vMerge w:val="restart"/>
            <w:tcBorders>
              <w:top w:val="single" w:color="auto" w:sz="4" w:space="0"/>
            </w:tcBorders>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4</w:t>
            </w:r>
          </w:p>
        </w:tc>
        <w:tc>
          <w:tcPr>
            <w:tcW w:w="675" w:type="dxa"/>
            <w:vMerge w:val="restart"/>
            <w:tcBorders>
              <w:top w:val="single" w:color="auto" w:sz="4" w:space="0"/>
            </w:tcBorders>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着力提升网上政务服务能力</w:t>
            </w:r>
          </w:p>
        </w:tc>
        <w:tc>
          <w:tcPr>
            <w:tcW w:w="5408" w:type="dxa"/>
            <w:tcBorders>
              <w:top w:val="single" w:color="auto" w:sz="4" w:space="0"/>
            </w:tcBorders>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不断优化网上政务服务流程。以减时限、减环节、减材料、减跑动、减费用为着力点，优化简化部门内部审批环节和业务流程，推广“容缺审批”。</w:t>
            </w:r>
          </w:p>
        </w:tc>
        <w:tc>
          <w:tcPr>
            <w:tcW w:w="1579" w:type="dxa"/>
            <w:tcBorders>
              <w:top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Borders>
              <w:top w:val="single" w:color="auto" w:sz="4" w:space="0"/>
            </w:tcBorders>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lang w:val="en-US" w:eastAsia="zh-CN"/>
              </w:rPr>
              <w:t>3月初见成效</w:t>
            </w:r>
            <w:r>
              <w:rPr>
                <w:rFonts w:hint="eastAsia" w:ascii="仿宋" w:hAnsi="仿宋" w:eastAsia="仿宋" w:cs="仿宋"/>
                <w:color w:val="000000" w:themeColor="text1"/>
                <w:kern w:val="0"/>
                <w:sz w:val="24"/>
                <w:szCs w:val="24"/>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持续优化市“互联网+政务服务”一体化平台功能，打造县、乡（镇）、村（社区）三级跨界协同、运转高效的跨地区、跨部门、跨层级的综合服务平台，并推进政务服务线上线下深度融合。</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政务服务管理股、电子政务与数据资源管理股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rPr>
              <w:t>政务信息中心</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5月底</w:t>
            </w:r>
          </w:p>
          <w:p>
            <w:pPr>
              <w:spacing w:line="260" w:lineRule="exact"/>
              <w:jc w:val="center"/>
              <w:rPr>
                <w:rFonts w:hint="eastAsia" w:ascii="仿宋" w:hAnsi="仿宋" w:eastAsia="仿宋" w:cs="仿宋"/>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整合网办资源，对各部门的网办平台、网办小程序再摸底，梳理汇总后，集中整合在旗舰店和微信公众号上，真正实现一体化平台一站式进入，努力实现政务数据有序共享。建立权威高效的政务服务数据共享对接协调机制，并依托市一体化平台加快梳理、汇聚、转化各级各部门存量增量电子证照数据。</w:t>
            </w:r>
          </w:p>
        </w:tc>
        <w:tc>
          <w:tcPr>
            <w:tcW w:w="1579"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rPr>
              <w:t>电子政务与数据资源管理股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政务信息中心</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5月底</w:t>
            </w:r>
          </w:p>
          <w:p>
            <w:pPr>
              <w:spacing w:line="260" w:lineRule="exact"/>
              <w:jc w:val="center"/>
              <w:rPr>
                <w:rFonts w:hint="eastAsia" w:ascii="仿宋" w:hAnsi="仿宋" w:eastAsia="仿宋" w:cs="仿宋"/>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各级各部门对网办事项进行对应深度的逐项测试、体验，并适时组织人大代表、政协委员和第三方机构组织开展网办事项进行逐项测试、体验。</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政务服务中心、电子政务与数据资源管理股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12月底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8" w:hRule="atLeast"/>
          <w:jc w:val="center"/>
        </w:trPr>
        <w:tc>
          <w:tcPr>
            <w:tcW w:w="510" w:type="dxa"/>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5</w:t>
            </w:r>
          </w:p>
        </w:tc>
        <w:tc>
          <w:tcPr>
            <w:tcW w:w="675" w:type="dxa"/>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复制推广改革举措</w:t>
            </w: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rPr>
              <w:t>全面复制推广京沪地区在企业开办、获得电力、登记财产、缴纳税费、跨境贸易、执行合同等方面13项和23项改革经验和做法。实行开办企业全程网上办、压缩企业设立登记时间、全面推广电子营业执照、优化印章刻制服务、实行社保用工登记“二合一”、实行客户用电线上包装、纳税“最多跑一次”、推广应用国际贸易“单一窗口”、建立“基本解决执行难联动机制”；提供企业档案“容e查”服务、优化环境影响评价分类分级、实行数字化联合审图、推行招投标交易全过程电子化、提供小微企业节点零上门零审批零投资服务等各项改革措施落实落地。</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rPr>
              <w:t>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“13项”6月底；</w:t>
            </w:r>
          </w:p>
          <w:p>
            <w:pPr>
              <w:spacing w:line="260" w:lineRule="exact"/>
              <w:jc w:val="center"/>
              <w:rPr>
                <w:rFonts w:hint="eastAsia" w:ascii="仿宋" w:hAnsi="仿宋" w:eastAsia="仿宋" w:cs="仿宋"/>
                <w:color w:val="000000" w:themeColor="text1"/>
                <w:kern w:val="0"/>
                <w:sz w:val="24"/>
                <w:szCs w:val="24"/>
                <w:lang w:val="en-US" w:eastAsia="zh-CN" w:bidi="ar-SA"/>
              </w:rPr>
            </w:pPr>
            <w:r>
              <w:rPr>
                <w:rFonts w:hint="eastAsia" w:ascii="仿宋" w:hAnsi="仿宋" w:eastAsia="仿宋" w:cs="仿宋"/>
                <w:color w:val="000000" w:themeColor="text1"/>
                <w:kern w:val="0"/>
                <w:sz w:val="24"/>
                <w:szCs w:val="24"/>
              </w:rPr>
              <w:t>“23项”9月底（确实在我市无法实施的，须报经人民政府同意）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jc w:val="center"/>
        </w:trPr>
        <w:tc>
          <w:tcPr>
            <w:tcW w:w="510" w:type="dxa"/>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6</w:t>
            </w:r>
          </w:p>
        </w:tc>
        <w:tc>
          <w:tcPr>
            <w:tcW w:w="675" w:type="dxa"/>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加快对接中介服务超市</w:t>
            </w: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推进行政审批中介服务标准化建设，依托市“互联网+政务服务”一体化平台，探索建设以网络为主、实体为辅的中介服务超市。</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行政审批改革股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default"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3月初启动，并按省市规定推动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10" w:type="dxa"/>
            <w:vMerge w:val="restart"/>
            <w:noWrap/>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7</w:t>
            </w:r>
          </w:p>
        </w:tc>
        <w:tc>
          <w:tcPr>
            <w:tcW w:w="675" w:type="dxa"/>
            <w:vMerge w:val="restart"/>
            <w:tcMar>
              <w:top w:w="15" w:type="dxa"/>
              <w:left w:w="15" w:type="dxa"/>
              <w:right w:w="15" w:type="dxa"/>
            </w:tcMar>
            <w:vAlign w:val="center"/>
          </w:tcPr>
          <w:p>
            <w:pPr>
              <w:spacing w:line="260" w:lineRule="exact"/>
              <w:jc w:val="center"/>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加强政务综合监管</w:t>
            </w: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持续推进12345政务服务客服号建设。将12345政务服务热线嵌入政务服务全流程，规范热线服务流程标准，丰富、更新知识库，拓展数据支撑能力；实现政务服务工作网上可查、电话可询。</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4月启动   并</w:t>
            </w:r>
            <w:r>
              <w:rPr>
                <w:rFonts w:hint="eastAsia" w:ascii="仿宋" w:hAnsi="仿宋" w:eastAsia="仿宋" w:cs="仿宋"/>
                <w:color w:val="000000" w:themeColor="text1"/>
                <w:kern w:val="0"/>
                <w:sz w:val="24"/>
                <w:szCs w:val="24"/>
              </w:rPr>
              <w:t>持续推</w:t>
            </w:r>
            <w:r>
              <w:rPr>
                <w:rFonts w:hint="eastAsia" w:ascii="仿宋" w:hAnsi="仿宋" w:eastAsia="仿宋" w:cs="仿宋"/>
                <w:color w:val="000000" w:themeColor="text1"/>
                <w:kern w:val="0"/>
                <w:sz w:val="24"/>
                <w:szCs w:val="24"/>
                <w:lang w:val="en-US" w:eastAsia="zh-CN"/>
              </w:rPr>
              <w:t>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jc w:val="center"/>
        </w:trPr>
        <w:tc>
          <w:tcPr>
            <w:tcW w:w="510" w:type="dxa"/>
            <w:vMerge w:val="continue"/>
            <w:noWrap/>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p>
        </w:tc>
        <w:tc>
          <w:tcPr>
            <w:tcW w:w="675" w:type="dxa"/>
            <w:vMerge w:val="continue"/>
            <w:tcMar>
              <w:top w:w="15" w:type="dxa"/>
              <w:left w:w="15" w:type="dxa"/>
              <w:right w:w="15" w:type="dxa"/>
            </w:tcMar>
            <w:vAlign w:val="center"/>
          </w:tcPr>
          <w:p>
            <w:pPr>
              <w:spacing w:line="260" w:lineRule="exact"/>
              <w:jc w:val="left"/>
              <w:rPr>
                <w:rFonts w:hint="eastAsia" w:ascii="仿宋" w:hAnsi="仿宋" w:eastAsia="仿宋" w:cs="仿宋"/>
                <w:color w:val="000000" w:themeColor="text1"/>
                <w:kern w:val="0"/>
                <w:sz w:val="24"/>
                <w:szCs w:val="24"/>
              </w:rPr>
            </w:pPr>
          </w:p>
        </w:tc>
        <w:tc>
          <w:tcPr>
            <w:tcW w:w="5408" w:type="dxa"/>
            <w:tcMar>
              <w:top w:w="15" w:type="dxa"/>
              <w:left w:w="15" w:type="dxa"/>
              <w:right w:w="15" w:type="dxa"/>
            </w:tcMar>
            <w:vAlign w:val="center"/>
          </w:tcPr>
          <w:p>
            <w:pPr>
              <w:spacing w:line="260" w:lineRule="exact"/>
              <w:textAlignment w:val="center"/>
              <w:rPr>
                <w:rFonts w:hint="eastAsia" w:ascii="仿宋" w:hAnsi="仿宋" w:eastAsia="仿宋" w:cs="仿宋"/>
                <w:color w:val="000000" w:themeColor="text1"/>
                <w:kern w:val="0"/>
                <w:sz w:val="24"/>
                <w:szCs w:val="24"/>
              </w:rPr>
            </w:pPr>
            <w:r>
              <w:rPr>
                <w:rStyle w:val="28"/>
                <w:rFonts w:hint="eastAsia" w:ascii="仿宋" w:hAnsi="仿宋" w:eastAsia="仿宋" w:cs="仿宋"/>
                <w:color w:val="000000" w:themeColor="text1"/>
                <w:kern w:val="0"/>
                <w:sz w:val="24"/>
                <w:szCs w:val="24"/>
              </w:rPr>
              <w:t>完善红黄牌预警纠错机制和“好差评”制度。</w:t>
            </w:r>
            <w:r>
              <w:rPr>
                <w:rFonts w:hint="eastAsia" w:ascii="仿宋" w:hAnsi="仿宋" w:eastAsia="仿宋" w:cs="仿宋"/>
                <w:color w:val="000000" w:themeColor="text1"/>
                <w:kern w:val="0"/>
                <w:sz w:val="24"/>
                <w:szCs w:val="24"/>
              </w:rPr>
              <w:t>按照行政效能电子监管和政务服务“好差评”制度要求，将政务服务时效和评价纳入省行政效能电子监管系统全程接受监督。</w:t>
            </w:r>
          </w:p>
        </w:tc>
        <w:tc>
          <w:tcPr>
            <w:tcW w:w="1579"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政务服务中心、电子政务与数据资源管理股</w:t>
            </w:r>
            <w:r>
              <w:rPr>
                <w:rFonts w:hint="eastAsia" w:ascii="仿宋" w:hAnsi="仿宋" w:eastAsia="仿宋" w:cs="仿宋"/>
                <w:color w:val="000000" w:themeColor="text1"/>
                <w:kern w:val="0"/>
                <w:sz w:val="24"/>
                <w:szCs w:val="24"/>
                <w:lang w:eastAsia="zh-CN"/>
              </w:rPr>
              <w:t>、</w:t>
            </w:r>
            <w:r>
              <w:rPr>
                <w:rFonts w:hint="eastAsia" w:ascii="仿宋" w:hAnsi="仿宋" w:eastAsia="仿宋" w:cs="仿宋"/>
                <w:color w:val="000000" w:themeColor="text1"/>
                <w:kern w:val="0"/>
                <w:sz w:val="24"/>
                <w:szCs w:val="24"/>
                <w:lang w:val="en-US" w:eastAsia="zh-CN"/>
              </w:rPr>
              <w:t>相关业务窗口</w:t>
            </w:r>
          </w:p>
        </w:tc>
        <w:tc>
          <w:tcPr>
            <w:tcW w:w="1457" w:type="dxa"/>
            <w:tcMar>
              <w:top w:w="15" w:type="dxa"/>
              <w:left w:w="15" w:type="dxa"/>
              <w:right w:w="15" w:type="dxa"/>
            </w:tcMar>
            <w:vAlign w:val="center"/>
          </w:tcPr>
          <w:p>
            <w:pPr>
              <w:spacing w:line="260" w:lineRule="exact"/>
              <w:jc w:val="center"/>
              <w:rPr>
                <w:rFonts w:hint="eastAsia" w:ascii="仿宋" w:hAnsi="仿宋" w:eastAsia="仿宋" w:cs="仿宋"/>
                <w:color w:val="000000" w:themeColor="text1"/>
                <w:kern w:val="0"/>
                <w:sz w:val="24"/>
                <w:szCs w:val="24"/>
                <w:lang w:val="en-US" w:eastAsia="zh-CN"/>
              </w:rPr>
            </w:pPr>
            <w:r>
              <w:rPr>
                <w:rFonts w:hint="eastAsia" w:ascii="仿宋" w:hAnsi="仿宋" w:eastAsia="仿宋" w:cs="仿宋"/>
                <w:color w:val="000000" w:themeColor="text1"/>
                <w:kern w:val="0"/>
                <w:sz w:val="24"/>
                <w:szCs w:val="24"/>
                <w:lang w:val="en-US" w:eastAsia="zh-CN"/>
              </w:rPr>
              <w:t>3月初见成效并持续推进</w:t>
            </w:r>
          </w:p>
        </w:tc>
      </w:tr>
    </w:tbl>
    <w:p>
      <w:pPr>
        <w:jc w:val="both"/>
        <w:rPr>
          <w:rFonts w:hint="eastAsia" w:ascii="仿宋" w:hAnsi="仿宋" w:eastAsia="仿宋" w:cs="仿宋"/>
          <w:color w:val="000000"/>
          <w:sz w:val="32"/>
          <w:szCs w:val="32"/>
          <w:lang w:val="en-US" w:eastAsia="zh-CN"/>
        </w:rPr>
      </w:pPr>
    </w:p>
    <w:p>
      <w:pPr>
        <w:keepNext w:val="0"/>
        <w:keepLines w:val="0"/>
        <w:pageBreakBefore w:val="0"/>
        <w:tabs>
          <w:tab w:val="right" w:pos="8690"/>
        </w:tabs>
        <w:kinsoku/>
        <w:wordWrap/>
        <w:overflowPunct/>
        <w:topLinePunct w:val="0"/>
        <w:autoSpaceDE/>
        <w:autoSpaceDN/>
        <w:bidi w:val="0"/>
        <w:adjustRightInd/>
        <w:snapToGrid/>
        <w:spacing w:line="560" w:lineRule="exact"/>
        <w:ind w:left="105" w:leftChars="50"/>
        <w:rPr>
          <w:rFonts w:hint="eastAsia" w:ascii="楷体" w:hAnsi="楷体" w:eastAsia="楷体" w:cs="楷体"/>
          <w:lang w:eastAsia="zh-CN" w:bidi="ar-SA"/>
        </w:rPr>
      </w:pPr>
    </w:p>
    <w:p>
      <w:pPr>
        <w:keepNext w:val="0"/>
        <w:keepLines w:val="0"/>
        <w:pageBreakBefore w:val="0"/>
        <w:tabs>
          <w:tab w:val="right" w:pos="8690"/>
        </w:tabs>
        <w:kinsoku/>
        <w:wordWrap/>
        <w:overflowPunct/>
        <w:topLinePunct w:val="0"/>
        <w:autoSpaceDE/>
        <w:autoSpaceDN/>
        <w:bidi w:val="0"/>
        <w:adjustRightInd/>
        <w:snapToGrid/>
        <w:spacing w:line="560" w:lineRule="exact"/>
        <w:ind w:left="105" w:leftChars="50"/>
        <w:rPr>
          <w:rFonts w:hint="eastAsia" w:ascii="楷体" w:hAnsi="楷体" w:eastAsia="楷体" w:cs="楷体"/>
          <w:lang w:eastAsia="zh-CN" w:bidi="ar-SA"/>
        </w:rPr>
      </w:pPr>
    </w:p>
    <w:p>
      <w:pPr>
        <w:keepNext w:val="0"/>
        <w:keepLines w:val="0"/>
        <w:pageBreakBefore w:val="0"/>
        <w:tabs>
          <w:tab w:val="right" w:pos="8690"/>
        </w:tabs>
        <w:kinsoku/>
        <w:wordWrap/>
        <w:overflowPunct/>
        <w:topLinePunct w:val="0"/>
        <w:autoSpaceDE/>
        <w:autoSpaceDN/>
        <w:bidi w:val="0"/>
        <w:adjustRightInd/>
        <w:snapToGrid/>
        <w:spacing w:line="560" w:lineRule="exact"/>
        <w:ind w:left="105" w:leftChars="50"/>
        <w:rPr>
          <w:rFonts w:hint="eastAsia" w:ascii="楷体" w:hAnsi="楷体" w:eastAsia="楷体" w:cs="楷体"/>
          <w:lang w:eastAsia="zh-CN" w:bidi="ar-SA"/>
        </w:rPr>
      </w:pPr>
    </w:p>
    <w:p>
      <w:pPr>
        <w:keepNext w:val="0"/>
        <w:keepLines w:val="0"/>
        <w:pageBreakBefore w:val="0"/>
        <w:tabs>
          <w:tab w:val="right" w:pos="8690"/>
        </w:tabs>
        <w:kinsoku/>
        <w:wordWrap/>
        <w:overflowPunct/>
        <w:topLinePunct w:val="0"/>
        <w:autoSpaceDE/>
        <w:autoSpaceDN/>
        <w:bidi w:val="0"/>
        <w:adjustRightInd/>
        <w:snapToGrid/>
        <w:spacing w:line="560" w:lineRule="exact"/>
        <w:ind w:left="105" w:leftChars="50"/>
        <w:rPr>
          <w:rFonts w:hint="eastAsia" w:ascii="楷体" w:hAnsi="楷体" w:eastAsia="楷体" w:cs="楷体"/>
          <w:lang w:eastAsia="zh-CN" w:bidi="ar-SA"/>
        </w:rPr>
      </w:pPr>
    </w:p>
    <w:sectPr>
      <w:footerReference r:id="rId3" w:type="default"/>
      <w:pgSz w:w="11907" w:h="16840"/>
      <w:pgMar w:top="2098" w:right="1474" w:bottom="1984" w:left="1587" w:header="851" w:footer="1417" w:gutter="0"/>
      <w:pgNumType w:fmt="numberInDash"/>
      <w:cols w:space="720" w:num="1"/>
      <w:rtlGutter w:val="0"/>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Fonts w:cs="Calibri"/>
      </w:rPr>
      <w:fldChar w:fldCharType="begin"/>
    </w:r>
    <w:r>
      <w:rPr>
        <w:rStyle w:val="18"/>
        <w:rFonts w:cs="Calibri"/>
      </w:rPr>
      <w:instrText xml:space="preserve">PAGE  </w:instrText>
    </w:r>
    <w:r>
      <w:rPr>
        <w:rStyle w:val="18"/>
        <w:rFonts w:cs="Calibri"/>
      </w:rPr>
      <w:fldChar w:fldCharType="separate"/>
    </w:r>
    <w:r>
      <w:rPr>
        <w:rStyle w:val="18"/>
        <w:rFonts w:cs="Calibri"/>
      </w:rPr>
      <w:t>53</w:t>
    </w:r>
    <w:r>
      <w:rPr>
        <w:rStyle w:val="18"/>
        <w:rFonts w:cs="Calibri"/>
      </w:rPr>
      <w:fldChar w:fldCharType="end"/>
    </w:r>
  </w:p>
  <w:p>
    <w:pPr>
      <w:pStyle w:val="9"/>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compatSetting w:name="compatibilityMode" w:uri="http://schemas.microsoft.com/office/word" w:val="12"/>
  </w:compat>
  <w:rsids>
    <w:rsidRoot w:val="00E721C4"/>
    <w:rsid w:val="00044F65"/>
    <w:rsid w:val="0007441C"/>
    <w:rsid w:val="00085493"/>
    <w:rsid w:val="000C5631"/>
    <w:rsid w:val="000D5C61"/>
    <w:rsid w:val="000E740E"/>
    <w:rsid w:val="000F37DD"/>
    <w:rsid w:val="00105472"/>
    <w:rsid w:val="0023444F"/>
    <w:rsid w:val="002444E3"/>
    <w:rsid w:val="00252D13"/>
    <w:rsid w:val="002D17FE"/>
    <w:rsid w:val="00354269"/>
    <w:rsid w:val="00365BEA"/>
    <w:rsid w:val="003746BB"/>
    <w:rsid w:val="003A6227"/>
    <w:rsid w:val="003B5447"/>
    <w:rsid w:val="003F602F"/>
    <w:rsid w:val="00406423"/>
    <w:rsid w:val="0040670D"/>
    <w:rsid w:val="00434824"/>
    <w:rsid w:val="00444FF9"/>
    <w:rsid w:val="004A4E05"/>
    <w:rsid w:val="004C0692"/>
    <w:rsid w:val="004C56AA"/>
    <w:rsid w:val="00533402"/>
    <w:rsid w:val="00592D18"/>
    <w:rsid w:val="005A6335"/>
    <w:rsid w:val="005A649E"/>
    <w:rsid w:val="005E7027"/>
    <w:rsid w:val="006059E7"/>
    <w:rsid w:val="006112E0"/>
    <w:rsid w:val="00634A06"/>
    <w:rsid w:val="0063718E"/>
    <w:rsid w:val="0064117F"/>
    <w:rsid w:val="00653937"/>
    <w:rsid w:val="00675BC7"/>
    <w:rsid w:val="00683194"/>
    <w:rsid w:val="00686F25"/>
    <w:rsid w:val="006916D1"/>
    <w:rsid w:val="00695B0D"/>
    <w:rsid w:val="00711DFC"/>
    <w:rsid w:val="00716D49"/>
    <w:rsid w:val="0074044B"/>
    <w:rsid w:val="00772701"/>
    <w:rsid w:val="007B2EC4"/>
    <w:rsid w:val="007F7C1A"/>
    <w:rsid w:val="0082335D"/>
    <w:rsid w:val="00877494"/>
    <w:rsid w:val="00906B7D"/>
    <w:rsid w:val="00914043"/>
    <w:rsid w:val="009523D1"/>
    <w:rsid w:val="00962DCC"/>
    <w:rsid w:val="009A1C34"/>
    <w:rsid w:val="009A44DD"/>
    <w:rsid w:val="00A71C2F"/>
    <w:rsid w:val="00A73898"/>
    <w:rsid w:val="00A9598A"/>
    <w:rsid w:val="00BC0C10"/>
    <w:rsid w:val="00BF5C00"/>
    <w:rsid w:val="00C1344C"/>
    <w:rsid w:val="00C26B6B"/>
    <w:rsid w:val="00C4606F"/>
    <w:rsid w:val="00C50ED9"/>
    <w:rsid w:val="00C7275A"/>
    <w:rsid w:val="00C75D5D"/>
    <w:rsid w:val="00CA5278"/>
    <w:rsid w:val="00CA5E0F"/>
    <w:rsid w:val="00CC439E"/>
    <w:rsid w:val="00D0585A"/>
    <w:rsid w:val="00D1017C"/>
    <w:rsid w:val="00D4400B"/>
    <w:rsid w:val="00D627FD"/>
    <w:rsid w:val="00DA7446"/>
    <w:rsid w:val="00DE34D4"/>
    <w:rsid w:val="00DF173A"/>
    <w:rsid w:val="00DF60DD"/>
    <w:rsid w:val="00E501EE"/>
    <w:rsid w:val="00E721C4"/>
    <w:rsid w:val="00E831CA"/>
    <w:rsid w:val="00EA546C"/>
    <w:rsid w:val="00F30C26"/>
    <w:rsid w:val="00FD642D"/>
    <w:rsid w:val="00FE5038"/>
    <w:rsid w:val="06C42E85"/>
    <w:rsid w:val="0B50462E"/>
    <w:rsid w:val="0E55545D"/>
    <w:rsid w:val="11436352"/>
    <w:rsid w:val="12693855"/>
    <w:rsid w:val="1339186A"/>
    <w:rsid w:val="17060FC9"/>
    <w:rsid w:val="1F0E3FF4"/>
    <w:rsid w:val="27007CCE"/>
    <w:rsid w:val="33135A57"/>
    <w:rsid w:val="36061536"/>
    <w:rsid w:val="3ED80010"/>
    <w:rsid w:val="3F40373F"/>
    <w:rsid w:val="467F34DB"/>
    <w:rsid w:val="469B4CD1"/>
    <w:rsid w:val="4B1B0055"/>
    <w:rsid w:val="51D6300E"/>
    <w:rsid w:val="52734AE4"/>
    <w:rsid w:val="5727347E"/>
    <w:rsid w:val="59D338CD"/>
    <w:rsid w:val="5A81456E"/>
    <w:rsid w:val="5EE11C37"/>
    <w:rsid w:val="5F8D7A7D"/>
    <w:rsid w:val="63FF6C17"/>
    <w:rsid w:val="6DA74D64"/>
    <w:rsid w:val="6F0001E1"/>
    <w:rsid w:val="72517131"/>
    <w:rsid w:val="72A46806"/>
    <w:rsid w:val="772751AA"/>
    <w:rsid w:val="7A9147A9"/>
    <w:rsid w:val="7D38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line="600" w:lineRule="exact"/>
      <w:jc w:val="center"/>
      <w:outlineLvl w:val="0"/>
    </w:pPr>
    <w:rPr>
      <w:rFonts w:ascii="Times New Roman" w:hAnsi="Times New Roman" w:eastAsia="黑体" w:cs="Times New Roman"/>
      <w:kern w:val="44"/>
      <w:sz w:val="32"/>
      <w:szCs w:val="24"/>
    </w:rPr>
  </w:style>
  <w:style w:type="paragraph" w:styleId="3">
    <w:name w:val="heading 2"/>
    <w:basedOn w:val="1"/>
    <w:next w:val="1"/>
    <w:qFormat/>
    <w:uiPriority w:val="0"/>
    <w:pPr>
      <w:keepNext/>
      <w:keepLines/>
      <w:spacing w:before="260" w:after="260" w:line="415" w:lineRule="auto"/>
      <w:outlineLvl w:val="1"/>
    </w:pPr>
    <w:rPr>
      <w:rFonts w:ascii="Calibri Light" w:hAnsi="Calibri Light" w:cs="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index 8"/>
    <w:basedOn w:val="1"/>
    <w:next w:val="1"/>
    <w:qFormat/>
    <w:uiPriority w:val="0"/>
    <w:pPr>
      <w:ind w:left="1400" w:leftChars="1400"/>
    </w:pPr>
  </w:style>
  <w:style w:type="paragraph" w:styleId="5">
    <w:name w:val="annotation text"/>
    <w:basedOn w:val="1"/>
    <w:qFormat/>
    <w:uiPriority w:val="0"/>
    <w:pPr>
      <w:spacing w:beforeLines="50" w:afterLines="50" w:line="580" w:lineRule="exact"/>
      <w:ind w:firstLine="200" w:firstLineChars="200"/>
      <w:jc w:val="left"/>
    </w:pPr>
    <w:rPr>
      <w:rFonts w:ascii="Times New Roman" w:hAnsi="Times New Roman" w:eastAsia="仿宋" w:cs="Times New Roman"/>
      <w:kern w:val="0"/>
      <w:sz w:val="28"/>
      <w:szCs w:val="20"/>
    </w:rPr>
  </w:style>
  <w:style w:type="paragraph" w:styleId="6">
    <w:name w:val="Body Text"/>
    <w:basedOn w:val="1"/>
    <w:qFormat/>
    <w:uiPriority w:val="0"/>
    <w:pPr>
      <w:spacing w:after="120"/>
    </w:pPr>
  </w:style>
  <w:style w:type="paragraph" w:styleId="7">
    <w:name w:val="Body Text Indent"/>
    <w:basedOn w:val="1"/>
    <w:qFormat/>
    <w:uiPriority w:val="0"/>
    <w:pPr>
      <w:adjustRightInd w:val="0"/>
      <w:snapToGrid w:val="0"/>
      <w:spacing w:line="590" w:lineRule="atLeast"/>
      <w:ind w:firstLine="200" w:firstLineChars="200"/>
    </w:pPr>
    <w:rPr>
      <w:rFonts w:ascii="Times New Roman" w:hAnsi="Times New Roman" w:eastAsia="仿宋_GB2312" w:cs="Times New Roman"/>
      <w:spacing w:val="8"/>
      <w:kern w:val="0"/>
      <w:sz w:val="30"/>
      <w:szCs w:val="30"/>
    </w:rPr>
  </w:style>
  <w:style w:type="paragraph" w:styleId="8">
    <w:name w:val="Plain Text"/>
    <w:basedOn w:val="1"/>
    <w:qFormat/>
    <w:uiPriority w:val="0"/>
    <w:rPr>
      <w:rFonts w:ascii="宋体" w:cs="Times New Roman"/>
    </w:rPr>
  </w:style>
  <w:style w:type="paragraph" w:styleId="9">
    <w:name w:val="footer"/>
    <w:basedOn w:val="1"/>
    <w:link w:val="30"/>
    <w:qFormat/>
    <w:uiPriority w:val="0"/>
    <w:pPr>
      <w:tabs>
        <w:tab w:val="center" w:pos="4153"/>
        <w:tab w:val="right" w:pos="8306"/>
      </w:tabs>
      <w:snapToGrid w:val="0"/>
      <w:jc w:val="left"/>
    </w:pPr>
    <w:rPr>
      <w:sz w:val="18"/>
      <w:szCs w:val="18"/>
    </w:rPr>
  </w:style>
  <w:style w:type="paragraph" w:styleId="10">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99"/>
    <w:rPr>
      <w:rFonts w:cs="Times New Roman"/>
      <w:szCs w:val="24"/>
    </w:rPr>
  </w:style>
  <w:style w:type="paragraph" w:styleId="12">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13">
    <w:name w:val="Body Text First Indent"/>
    <w:basedOn w:val="6"/>
    <w:qFormat/>
    <w:uiPriority w:val="0"/>
    <w:pPr>
      <w:ind w:firstLine="100" w:firstLineChars="100"/>
    </w:pPr>
    <w:rPr>
      <w:rFonts w:cs="Times New Roman"/>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rFonts w:cs="Times New Roman"/>
      <w:b/>
      <w:bCs/>
    </w:rPr>
  </w:style>
  <w:style w:type="character" w:styleId="18">
    <w:name w:val="page number"/>
    <w:basedOn w:val="16"/>
    <w:qFormat/>
    <w:uiPriority w:val="0"/>
    <w:rPr>
      <w:rFonts w:cs="Times New Roman"/>
    </w:rPr>
  </w:style>
  <w:style w:type="paragraph" w:customStyle="1" w:styleId="19">
    <w:name w:val="Char Char Char Char"/>
    <w:basedOn w:val="1"/>
    <w:qFormat/>
    <w:uiPriority w:val="0"/>
    <w:rPr>
      <w:rFonts w:ascii="Times New Roman" w:hAnsi="Times New Roman" w:cs="Times New Roman"/>
    </w:rPr>
  </w:style>
  <w:style w:type="character" w:customStyle="1" w:styleId="20">
    <w:name w:val="16"/>
    <w:basedOn w:val="16"/>
    <w:qFormat/>
    <w:uiPriority w:val="99"/>
    <w:rPr>
      <w:rFonts w:ascii="Times New Roman" w:hAnsi="Times New Roman" w:cs="Times New Roman"/>
      <w:b/>
      <w:bCs/>
    </w:rPr>
  </w:style>
  <w:style w:type="paragraph" w:customStyle="1" w:styleId="21">
    <w:name w:val="列出段落1"/>
    <w:basedOn w:val="1"/>
    <w:qFormat/>
    <w:uiPriority w:val="0"/>
    <w:pPr>
      <w:ind w:firstLine="200" w:firstLineChars="200"/>
    </w:pPr>
    <w:rPr>
      <w:rFonts w:cs="Arial"/>
      <w:szCs w:val="22"/>
    </w:rPr>
  </w:style>
  <w:style w:type="paragraph" w:customStyle="1" w:styleId="22">
    <w:name w:val="p0"/>
    <w:next w:val="4"/>
    <w:qFormat/>
    <w:uiPriority w:val="0"/>
    <w:pPr>
      <w:jc w:val="both"/>
    </w:pPr>
    <w:rPr>
      <w:rFonts w:ascii="Times New Roman" w:hAnsi="Times New Roman" w:eastAsia="宋体" w:cs="Times New Roman"/>
      <w:sz w:val="21"/>
      <w:lang w:val="en-US" w:eastAsia="zh-CN" w:bidi="ar-SA"/>
    </w:rPr>
  </w:style>
  <w:style w:type="character" w:customStyle="1" w:styleId="23">
    <w:name w:val="15"/>
    <w:basedOn w:val="16"/>
    <w:qFormat/>
    <w:uiPriority w:val="99"/>
    <w:rPr>
      <w:rFonts w:ascii="Calibri" w:hAnsi="Calibri" w:eastAsia="宋体" w:cs="Calibri"/>
      <w:kern w:val="2"/>
      <w:sz w:val="24"/>
      <w:szCs w:val="24"/>
    </w:rPr>
  </w:style>
  <w:style w:type="character" w:customStyle="1" w:styleId="24">
    <w:name w:val="font41"/>
    <w:basedOn w:val="16"/>
    <w:qFormat/>
    <w:uiPriority w:val="99"/>
    <w:rPr>
      <w:rFonts w:ascii="宋体" w:hAnsi="宋体" w:eastAsia="宋体" w:cs="宋体"/>
      <w:color w:val="000000"/>
      <w:sz w:val="22"/>
      <w:szCs w:val="22"/>
      <w:u w:val="none"/>
    </w:rPr>
  </w:style>
  <w:style w:type="character" w:customStyle="1" w:styleId="25">
    <w:name w:val="font21"/>
    <w:basedOn w:val="16"/>
    <w:qFormat/>
    <w:uiPriority w:val="99"/>
    <w:rPr>
      <w:rFonts w:ascii="??_GB2312" w:eastAsia="Times New Roman" w:cs="??_GB2312"/>
      <w:color w:val="000000"/>
      <w:sz w:val="22"/>
      <w:szCs w:val="22"/>
      <w:u w:val="none"/>
    </w:rPr>
  </w:style>
  <w:style w:type="character" w:customStyle="1" w:styleId="26">
    <w:name w:val="font51"/>
    <w:basedOn w:val="16"/>
    <w:qFormat/>
    <w:uiPriority w:val="99"/>
    <w:rPr>
      <w:rFonts w:ascii="宋体" w:hAnsi="宋体" w:eastAsia="宋体" w:cs="宋体"/>
      <w:color w:val="000000"/>
      <w:sz w:val="22"/>
      <w:szCs w:val="22"/>
      <w:u w:val="none"/>
    </w:rPr>
  </w:style>
  <w:style w:type="character" w:customStyle="1" w:styleId="27">
    <w:name w:val="font11"/>
    <w:basedOn w:val="16"/>
    <w:qFormat/>
    <w:uiPriority w:val="99"/>
    <w:rPr>
      <w:rFonts w:ascii="??_GB2312" w:eastAsia="Times New Roman" w:cs="??_GB2312"/>
      <w:color w:val="000000"/>
      <w:sz w:val="22"/>
      <w:szCs w:val="22"/>
      <w:u w:val="none"/>
    </w:rPr>
  </w:style>
  <w:style w:type="character" w:customStyle="1" w:styleId="28">
    <w:name w:val="font31"/>
    <w:basedOn w:val="16"/>
    <w:qFormat/>
    <w:uiPriority w:val="99"/>
    <w:rPr>
      <w:rFonts w:ascii="宋体" w:hAnsi="宋体" w:eastAsia="宋体" w:cs="宋体"/>
      <w:color w:val="000000"/>
      <w:sz w:val="22"/>
      <w:szCs w:val="22"/>
      <w:u w:val="none"/>
    </w:rPr>
  </w:style>
  <w:style w:type="character" w:customStyle="1" w:styleId="29">
    <w:name w:val="页眉 Char"/>
    <w:basedOn w:val="16"/>
    <w:link w:val="10"/>
    <w:qFormat/>
    <w:uiPriority w:val="0"/>
    <w:rPr>
      <w:rFonts w:ascii="Calibri" w:hAnsi="Calibri" w:cs="Calibri"/>
      <w:kern w:val="2"/>
      <w:sz w:val="18"/>
      <w:szCs w:val="18"/>
    </w:rPr>
  </w:style>
  <w:style w:type="character" w:customStyle="1" w:styleId="30">
    <w:name w:val="页脚 Char"/>
    <w:basedOn w:val="16"/>
    <w:link w:val="9"/>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40D1D-1860-4D8A-BFF9-4E83414EF875}">
  <ds:schemaRefs/>
</ds:datastoreItem>
</file>

<file path=docProps/app.xml><?xml version="1.0" encoding="utf-8"?>
<Properties xmlns="http://schemas.openxmlformats.org/officeDocument/2006/extended-properties" xmlns:vt="http://schemas.openxmlformats.org/officeDocument/2006/docPropsVTypes">
  <Template>Normal.dotm</Template>
  <Company>城镇群建设办</Company>
  <Pages>63</Pages>
  <Words>4479</Words>
  <Characters>25534</Characters>
  <Lines>212</Lines>
  <Paragraphs>59</Paragraphs>
  <TotalTime>0</TotalTime>
  <ScaleCrop>false</ScaleCrop>
  <LinksUpToDate>false</LinksUpToDate>
  <CharactersWithSpaces>29954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2020-03-27T02:31:00Z</dcterms:created>
  <dc:creator>杏色流苏</dc:creator>
  <cp:lastModifiedBy>牧子</cp:lastModifiedBy>
  <cp:lastPrinted>2020-04-08T12:13:00Z</cp:lastPrinted>
  <dcterms:modified xsi:type="dcterms:W3CDTF">2020-04-21T08:14:20Z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